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20B94" w14:textId="77777777" w:rsidR="005069E0" w:rsidRPr="006441BD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315F8" w14:textId="77777777" w:rsidR="005069E0" w:rsidRPr="006441BD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E7F78" w14:textId="378A4471" w:rsidR="005069E0" w:rsidRPr="006441BD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07300" w14:textId="4AF89992" w:rsidR="00E330F6" w:rsidRPr="006441BD" w:rsidRDefault="00E330F6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85653" w14:textId="2C84714A" w:rsidR="00E330F6" w:rsidRPr="006441BD" w:rsidRDefault="00E330F6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40649" w14:textId="1B41E1A8" w:rsidR="00E330F6" w:rsidRPr="006441BD" w:rsidRDefault="00E330F6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ABA48" w14:textId="77777777" w:rsidR="00E330F6" w:rsidRPr="006441BD" w:rsidRDefault="00E330F6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CF729" w14:textId="77777777" w:rsidR="005069E0" w:rsidRPr="006441BD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2AE32" w14:textId="77777777" w:rsidR="005069E0" w:rsidRPr="006441BD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186E2" w14:textId="77777777" w:rsidR="005069E0" w:rsidRPr="006441BD" w:rsidRDefault="005069E0" w:rsidP="00644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07A52" w14:textId="534D751A" w:rsidR="005069E0" w:rsidRPr="006441BD" w:rsidRDefault="005069E0" w:rsidP="00644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2466D" w14:textId="77777777" w:rsidR="00E330F6" w:rsidRPr="006441BD" w:rsidRDefault="00E330F6" w:rsidP="00644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17D0C" w14:textId="77777777" w:rsidR="005069E0" w:rsidRPr="006441BD" w:rsidRDefault="005069E0" w:rsidP="00644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7065C" w14:textId="77777777" w:rsidR="005069E0" w:rsidRPr="006441BD" w:rsidRDefault="005069E0" w:rsidP="00644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A8CB4" w14:textId="77777777" w:rsidR="00E330F6" w:rsidRPr="006441BD" w:rsidRDefault="005069E0" w:rsidP="00644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BD">
        <w:rPr>
          <w:rFonts w:ascii="Times New Roman" w:hAnsi="Times New Roman" w:cs="Times New Roman"/>
          <w:b/>
          <w:sz w:val="28"/>
          <w:szCs w:val="28"/>
        </w:rPr>
        <w:t xml:space="preserve">Огляд даних </w:t>
      </w:r>
    </w:p>
    <w:p w14:paraId="35E41992" w14:textId="0AB5C671" w:rsidR="00E330F6" w:rsidRPr="006441BD" w:rsidRDefault="005069E0" w:rsidP="00644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BD">
        <w:rPr>
          <w:rFonts w:ascii="Times New Roman" w:hAnsi="Times New Roman" w:cs="Times New Roman"/>
          <w:b/>
          <w:sz w:val="28"/>
          <w:szCs w:val="28"/>
        </w:rPr>
        <w:t>про стан здійснення правосуддя місцевими судами</w:t>
      </w:r>
    </w:p>
    <w:p w14:paraId="7C3BB875" w14:textId="50966D18" w:rsidR="001460F8" w:rsidRPr="006441BD" w:rsidRDefault="005069E0" w:rsidP="00644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BD">
        <w:rPr>
          <w:rFonts w:ascii="Times New Roman" w:hAnsi="Times New Roman" w:cs="Times New Roman"/>
          <w:b/>
          <w:sz w:val="28"/>
          <w:szCs w:val="28"/>
        </w:rPr>
        <w:t xml:space="preserve"> Івано-Франківської області</w:t>
      </w:r>
    </w:p>
    <w:p w14:paraId="1A2053D2" w14:textId="77777777" w:rsidR="001460F8" w:rsidRPr="006441BD" w:rsidRDefault="001460F8" w:rsidP="009F4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C67BE" w14:textId="77777777" w:rsidR="001460F8" w:rsidRPr="006441BD" w:rsidRDefault="001460F8" w:rsidP="009F4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4D6AA" w14:textId="77777777" w:rsidR="001460F8" w:rsidRPr="006441BD" w:rsidRDefault="001460F8" w:rsidP="009F4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C0E27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07B233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4C4C08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0DB257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7F6881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8FFD9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DBD949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2B9ADC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E0E5DB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DEC6D2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E2BFA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69C672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EEFF32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C0FDB4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D1A262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4F41B9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9931EB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CEACB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C394CD" w14:textId="044931E1" w:rsidR="00956735" w:rsidRPr="006441BD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3051AB" w14:textId="77777777" w:rsidR="00956735" w:rsidRPr="006441BD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51070B" w14:textId="77777777" w:rsidR="00E330F6" w:rsidRPr="006441BD" w:rsidRDefault="00E330F6" w:rsidP="00E33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9AA95" w14:textId="77777777" w:rsidR="00AC10B8" w:rsidRPr="006441BD" w:rsidRDefault="00AC10B8" w:rsidP="00E33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B36DC" w14:textId="77777777" w:rsidR="00107E59" w:rsidRDefault="00107E59" w:rsidP="00E33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9D4C0" w14:textId="1C5B5E34" w:rsidR="005069E0" w:rsidRPr="006441BD" w:rsidRDefault="005069E0" w:rsidP="00E33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1BD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14:paraId="7523BC76" w14:textId="77777777" w:rsidR="005069E0" w:rsidRPr="006441BD" w:rsidRDefault="005069E0" w:rsidP="00E330F6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</w:rPr>
        <w:t>Загальні показники надходження та розгляду справ і матеріалів усіх категорій.</w:t>
      </w:r>
    </w:p>
    <w:p w14:paraId="7701FEAA" w14:textId="77777777" w:rsidR="005069E0" w:rsidRPr="006441BD" w:rsidRDefault="00B57DE9" w:rsidP="00E330F6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hAnsi="Times New Roman" w:cs="Times New Roman"/>
          <w:sz w:val="28"/>
          <w:szCs w:val="28"/>
        </w:rPr>
        <w:t xml:space="preserve">Показники надходження та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69E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озгляд судових справ кримінального провадження.</w:t>
      </w:r>
    </w:p>
    <w:p w14:paraId="2293AD15" w14:textId="47D0FC84" w:rsidR="005069E0" w:rsidRPr="006441BD" w:rsidRDefault="00B57DE9" w:rsidP="00E330F6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hAnsi="Times New Roman" w:cs="Times New Roman"/>
          <w:sz w:val="28"/>
          <w:szCs w:val="28"/>
        </w:rPr>
        <w:t xml:space="preserve">Показники надходження та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судових</w:t>
      </w:r>
      <w:r w:rsidR="005620F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9E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 провадження.</w:t>
      </w:r>
    </w:p>
    <w:p w14:paraId="1663B2B5" w14:textId="0C31E4B9" w:rsidR="005069E0" w:rsidRPr="006441BD" w:rsidRDefault="00B57DE9" w:rsidP="00E330F6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hAnsi="Times New Roman" w:cs="Times New Roman"/>
          <w:sz w:val="28"/>
          <w:szCs w:val="28"/>
        </w:rPr>
        <w:t xml:space="preserve">Показники надходження та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r w:rsidR="00C11C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судових </w:t>
      </w:r>
      <w:r w:rsidR="0095673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 адміністративного провадження.</w:t>
      </w:r>
    </w:p>
    <w:p w14:paraId="09CB8673" w14:textId="77777777" w:rsidR="00956735" w:rsidRPr="006441BD" w:rsidRDefault="00B57DE9" w:rsidP="00E330F6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hAnsi="Times New Roman" w:cs="Times New Roman"/>
          <w:sz w:val="28"/>
          <w:szCs w:val="28"/>
        </w:rPr>
        <w:t xml:space="preserve">Показники надходження та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 судових </w:t>
      </w:r>
      <w:r w:rsidR="0095673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 про адміністративні правопорушення.</w:t>
      </w:r>
    </w:p>
    <w:p w14:paraId="5FF1A232" w14:textId="77777777" w:rsidR="00956735" w:rsidRPr="006441BD" w:rsidRDefault="00956735" w:rsidP="00E330F6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Висновок.</w:t>
      </w:r>
    </w:p>
    <w:p w14:paraId="53E84FC0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484EB2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FFC340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F25E1E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18615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519DA9" w14:textId="77777777" w:rsidR="001460F8" w:rsidRPr="006441BD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1A218E" w14:textId="77777777" w:rsidR="00956735" w:rsidRPr="006441BD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61129" w14:textId="77777777" w:rsidR="00956735" w:rsidRPr="006441BD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4D4428" w14:textId="77777777" w:rsidR="00956735" w:rsidRPr="006441BD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8A1F4" w14:textId="2699F844" w:rsidR="00956735" w:rsidRPr="006441BD" w:rsidRDefault="006441BD" w:rsidP="0064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EB4269B" w14:textId="3A09B867" w:rsidR="00DD5BC0" w:rsidRPr="006441BD" w:rsidRDefault="004454C8" w:rsidP="00E37F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1B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460F8" w:rsidRPr="006441BD">
        <w:rPr>
          <w:rFonts w:ascii="Times New Roman" w:hAnsi="Times New Roman" w:cs="Times New Roman"/>
          <w:b/>
          <w:sz w:val="28"/>
          <w:szCs w:val="28"/>
        </w:rPr>
        <w:t>Загальні показники надходження та розгляду справ і матеріалів усіх</w:t>
      </w:r>
      <w:r w:rsidR="00DD5BC0" w:rsidRPr="00644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0F8" w:rsidRPr="006441BD">
        <w:rPr>
          <w:rFonts w:ascii="Times New Roman" w:hAnsi="Times New Roman" w:cs="Times New Roman"/>
          <w:b/>
          <w:sz w:val="28"/>
          <w:szCs w:val="28"/>
        </w:rPr>
        <w:t>категорій</w:t>
      </w:r>
    </w:p>
    <w:p w14:paraId="1AC47C30" w14:textId="258CA7A4" w:rsidR="004A2AC8" w:rsidRPr="006441BD" w:rsidRDefault="004A2AC8" w:rsidP="006441BD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</w:rPr>
        <w:t>Завданням cу</w:t>
      </w:r>
      <w:r w:rsidR="005867B7">
        <w:rPr>
          <w:rFonts w:ascii="Times New Roman" w:hAnsi="Times New Roman" w:cs="Times New Roman"/>
          <w:sz w:val="28"/>
          <w:szCs w:val="28"/>
        </w:rPr>
        <w:t>д</w:t>
      </w:r>
      <w:r w:rsidRPr="006441BD">
        <w:rPr>
          <w:rFonts w:ascii="Times New Roman" w:hAnsi="Times New Roman" w:cs="Times New Roman"/>
          <w:sz w:val="28"/>
          <w:szCs w:val="28"/>
        </w:rPr>
        <w:t xml:space="preserve">у є здійснення правосуддя на засадах верховенства права, забезпечуючи кожному право на справедливий суд та повагу до інших прав і свобод, гарантованих Конституцією і законами України. </w:t>
      </w:r>
    </w:p>
    <w:p w14:paraId="7EDCFBED" w14:textId="77777777" w:rsidR="004A2AC8" w:rsidRPr="006441BD" w:rsidRDefault="004A2AC8" w:rsidP="006441BD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  <w:lang w:eastAsia="ar-SA"/>
        </w:rPr>
        <w:t xml:space="preserve">Місцеві </w:t>
      </w:r>
      <w:r w:rsidR="004A3234" w:rsidRPr="006441BD">
        <w:rPr>
          <w:rFonts w:ascii="Times New Roman" w:hAnsi="Times New Roman" w:cs="Times New Roman"/>
          <w:sz w:val="28"/>
          <w:szCs w:val="28"/>
          <w:lang w:eastAsia="ar-SA"/>
        </w:rPr>
        <w:t xml:space="preserve">загальні </w:t>
      </w:r>
      <w:r w:rsidRPr="006441BD">
        <w:rPr>
          <w:rFonts w:ascii="Times New Roman" w:hAnsi="Times New Roman" w:cs="Times New Roman"/>
          <w:sz w:val="28"/>
          <w:szCs w:val="28"/>
          <w:lang w:eastAsia="ar-SA"/>
        </w:rPr>
        <w:t xml:space="preserve">суди Івано-Франківської області </w:t>
      </w:r>
      <w:r w:rsidRPr="006441BD">
        <w:rPr>
          <w:rFonts w:ascii="Times New Roman" w:hAnsi="Times New Roman" w:cs="Times New Roman"/>
          <w:sz w:val="28"/>
          <w:szCs w:val="28"/>
        </w:rPr>
        <w:t>є судами першої інстанції, які розглядають цивільні, кримінальні, адміністративні справи, а також справи про адміністративні правопорушення у випадках та порядку, передбачених процесуальним законодавством.</w:t>
      </w:r>
    </w:p>
    <w:p w14:paraId="7EB99FAA" w14:textId="7353308E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Періодами статистичного спостереження здійснення правосуддя місцевими загальними</w:t>
      </w: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судами Івано-Франківської області (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далі суди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) є 20</w:t>
      </w:r>
      <w:r w:rsidR="00DB58F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A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20</w:t>
      </w:r>
      <w:r w:rsidR="004A2AC8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A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52C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роки.</w:t>
      </w:r>
    </w:p>
    <w:p w14:paraId="68B6E077" w14:textId="08FCD011" w:rsidR="005A6760" w:rsidRPr="005A6760" w:rsidRDefault="005A6760" w:rsidP="005A67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2022 року загальна штатна чисельність суддів Івано-Франківської області становить 104 судді, фактична чисельність</w:t>
      </w:r>
      <w:r w:rsidR="0089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судів, які здійснюють правосуддя</w:t>
      </w:r>
      <w:r w:rsidRPr="005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86. </w:t>
      </w:r>
    </w:p>
    <w:p w14:paraId="568818BD" w14:textId="4CDC9116" w:rsidR="00DB66B5" w:rsidRPr="005867B7" w:rsidRDefault="00391F87" w:rsidP="005867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даними статистичних звітів місцевих </w:t>
      </w:r>
      <w:r w:rsidR="00DB66B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судів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форами №№ 1-к,1-ц,1-а,1-п, 1-мзс,1-лт</w:t>
      </w:r>
      <w:r w:rsidR="00DB66B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r w:rsidR="000857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24A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</w:t>
      </w:r>
      <w:r w:rsidR="00DB66B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надійшло </w:t>
      </w:r>
      <w:r w:rsidR="00DB58F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4095</w:t>
      </w:r>
      <w:r w:rsidR="0002656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6B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 та матеріал</w:t>
      </w:r>
      <w:r w:rsidR="00AD76D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DB66B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B66B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DB58F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24ACA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B66B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</w:t>
      </w:r>
      <w:r w:rsidR="00DB66B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24A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67296</w:t>
      </w:r>
      <w:r w:rsidR="00DB66B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 даний період спостерігається т</w:t>
      </w:r>
      <w:r w:rsidR="004F0E6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енденція до з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4F0E6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</w:t>
      </w:r>
      <w:r w:rsidR="002852C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0E6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3201</w:t>
      </w:r>
      <w:r w:rsidR="00DB66B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Динаміку цих надходжень відображають показники, наведені в </w:t>
      </w:r>
      <w:r w:rsid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B66B5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аблиці №1.</w:t>
      </w:r>
    </w:p>
    <w:p w14:paraId="6B8E2D5F" w14:textId="15D0368D" w:rsidR="00DB66B5" w:rsidRPr="006441BD" w:rsidRDefault="00DB66B5" w:rsidP="006441BD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Таблиця №1</w:t>
      </w:r>
    </w:p>
    <w:tbl>
      <w:tblPr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11"/>
        <w:gridCol w:w="3542"/>
        <w:gridCol w:w="1134"/>
        <w:gridCol w:w="992"/>
        <w:gridCol w:w="992"/>
        <w:gridCol w:w="1985"/>
      </w:tblGrid>
      <w:tr w:rsidR="008B77D4" w:rsidRPr="006441BD" w14:paraId="1DE2E835" w14:textId="77777777" w:rsidTr="008B77D4">
        <w:trPr>
          <w:trHeight w:val="1469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8C93" w14:textId="77777777" w:rsidR="00DB66B5" w:rsidRPr="006441BD" w:rsidRDefault="00DB66B5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AF00" w14:textId="2C06FBE0" w:rsidR="00DB66B5" w:rsidRPr="006441BD" w:rsidRDefault="005734FA" w:rsidP="00573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Надходження справ до місцевих загальних судів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D6EF" w14:textId="77777777" w:rsidR="00E24ACA" w:rsidRPr="006441BD" w:rsidRDefault="00B26BE7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E24ACA"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14:paraId="4FF69DC4" w14:textId="51BF6ECE" w:rsidR="00DB66B5" w:rsidRPr="006441BD" w:rsidRDefault="00B26BE7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5154" w14:textId="1276B246" w:rsidR="00DB66B5" w:rsidRPr="006441BD" w:rsidRDefault="00B26BE7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E24ACA"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D749" w14:textId="0E9BB4F8" w:rsidR="00DB66B5" w:rsidRPr="006441BD" w:rsidRDefault="00DB66B5" w:rsidP="00644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B26BE7"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86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рік у порівнянні до  20</w:t>
            </w:r>
            <w:r w:rsidR="00162662"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26BE7"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7026E"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року</w:t>
            </w:r>
          </w:p>
        </w:tc>
      </w:tr>
      <w:tr w:rsidR="005867B7" w:rsidRPr="006441BD" w14:paraId="60A80D07" w14:textId="77777777" w:rsidTr="008B77D4">
        <w:trPr>
          <w:trHeight w:val="5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072E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45F5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Кримінальні справи  та матеріали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7E1B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8AD4" w14:textId="5687EEA3" w:rsidR="00E24ACA" w:rsidRPr="006441BD" w:rsidRDefault="00800190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C99F" w14:textId="1128E613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B41A" w14:textId="6624F3D1" w:rsidR="00E24ACA" w:rsidRPr="006441BD" w:rsidRDefault="0021462B" w:rsidP="00644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-5296</w:t>
            </w:r>
          </w:p>
        </w:tc>
      </w:tr>
      <w:tr w:rsidR="005867B7" w:rsidRPr="006441BD" w14:paraId="6AEEFB3B" w14:textId="77777777" w:rsidTr="008B77D4">
        <w:trPr>
          <w:trHeight w:val="8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BF9A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4CAA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E7CE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тому числі справ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9FB4" w14:textId="5C600198" w:rsidR="00E24ACA" w:rsidRPr="006441BD" w:rsidRDefault="00800190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9C5F" w14:textId="2AB32B98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1555A7"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DC80" w14:textId="369C2AB4" w:rsidR="00E24ACA" w:rsidRPr="006441BD" w:rsidRDefault="001555A7" w:rsidP="00644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-216</w:t>
            </w:r>
          </w:p>
        </w:tc>
      </w:tr>
      <w:tr w:rsidR="008B77D4" w:rsidRPr="006441BD" w14:paraId="3B2F10E6" w14:textId="77777777" w:rsidTr="008B77D4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F374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8E11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Цивільні  справи і заяви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15CB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CAA3" w14:textId="6ACA572D" w:rsidR="00E24ACA" w:rsidRPr="006441BD" w:rsidRDefault="00800190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AA66" w14:textId="03AD4A54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0D6F" w14:textId="32AA765D" w:rsidR="00E24ACA" w:rsidRPr="006441BD" w:rsidRDefault="0021462B" w:rsidP="00644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-5679</w:t>
            </w:r>
          </w:p>
        </w:tc>
      </w:tr>
      <w:tr w:rsidR="008B77D4" w:rsidRPr="006441BD" w14:paraId="19DAFAF6" w14:textId="77777777" w:rsidTr="008B77D4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1C87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19C5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7347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тому числі справ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6D65" w14:textId="00794BFB" w:rsidR="00E24ACA" w:rsidRPr="006441BD" w:rsidRDefault="00A5507B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00190"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863F" w14:textId="2A0925D9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EE76" w14:textId="6305A329" w:rsidR="00E24ACA" w:rsidRPr="006441BD" w:rsidRDefault="0021462B" w:rsidP="00644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-3833</w:t>
            </w:r>
          </w:p>
        </w:tc>
      </w:tr>
      <w:tr w:rsidR="008B77D4" w:rsidRPr="006441BD" w14:paraId="348D161F" w14:textId="77777777" w:rsidTr="008B77D4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7DE5" w14:textId="77777777" w:rsidR="009F2AEE" w:rsidRPr="006441BD" w:rsidRDefault="009F2AEE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7B74" w14:textId="77777777" w:rsidR="009F2AEE" w:rsidRPr="006441BD" w:rsidRDefault="009F2AEE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Адміністративні справи і заяви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F300" w14:textId="77777777" w:rsidR="009F2AEE" w:rsidRPr="006441BD" w:rsidRDefault="009F2AEE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0E7C" w14:textId="54AE9AA7" w:rsidR="009F2AEE" w:rsidRPr="006441BD" w:rsidRDefault="00800190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6977" w14:textId="496FE337" w:rsidR="009F2AEE" w:rsidRPr="006441BD" w:rsidRDefault="00800190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B979" w14:textId="6A513E6C" w:rsidR="009F2AEE" w:rsidRPr="006441BD" w:rsidRDefault="0021462B" w:rsidP="00644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-210</w:t>
            </w:r>
          </w:p>
        </w:tc>
      </w:tr>
      <w:tr w:rsidR="008B77D4" w:rsidRPr="006441BD" w14:paraId="6BC7A997" w14:textId="77777777" w:rsidTr="008B77D4">
        <w:trPr>
          <w:trHeight w:val="1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81D3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37F8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0766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тому числі справ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B9E2" w14:textId="355F0C90" w:rsidR="00E24ACA" w:rsidRPr="006441BD" w:rsidRDefault="00520258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00190"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E72B" w14:textId="19AD141F" w:rsidR="00E24ACA" w:rsidRPr="006441BD" w:rsidRDefault="00800190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552E" w14:textId="49D4AFF7" w:rsidR="00E24ACA" w:rsidRPr="006441BD" w:rsidRDefault="0021462B" w:rsidP="00644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-55</w:t>
            </w:r>
          </w:p>
        </w:tc>
      </w:tr>
      <w:tr w:rsidR="008B77D4" w:rsidRPr="006441BD" w14:paraId="71414AAA" w14:textId="77777777" w:rsidTr="008B77D4">
        <w:trPr>
          <w:trHeight w:val="4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E490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58EE" w14:textId="77777777" w:rsidR="00E24ACA" w:rsidRPr="006441BD" w:rsidRDefault="00E24ACA" w:rsidP="00121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 про адміністративні правопорушення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7C86" w14:textId="77777777" w:rsidR="00E24ACA" w:rsidRPr="006441BD" w:rsidRDefault="00E24ACA" w:rsidP="006441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0741" w14:textId="5F659962" w:rsidR="00E24ACA" w:rsidRPr="006441BD" w:rsidRDefault="00800190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3C00" w14:textId="1D1A051A" w:rsidR="00E24ACA" w:rsidRPr="006441BD" w:rsidRDefault="00800190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C1B7" w14:textId="7F6F84CC" w:rsidR="00E24ACA" w:rsidRPr="006441BD" w:rsidRDefault="0021462B" w:rsidP="00644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-2502</w:t>
            </w:r>
          </w:p>
        </w:tc>
      </w:tr>
      <w:tr w:rsidR="008B77D4" w:rsidRPr="006441BD" w14:paraId="74D57FDB" w14:textId="77777777" w:rsidTr="008B77D4">
        <w:trPr>
          <w:trHeight w:val="126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5D02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FC4F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0971" w14:textId="77777777" w:rsidR="00E24ACA" w:rsidRPr="006441BD" w:rsidRDefault="00E24ACA" w:rsidP="006441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тому числі справ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E402" w14:textId="313C9087" w:rsidR="00E24ACA" w:rsidRPr="006441BD" w:rsidRDefault="00800190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DDCA" w14:textId="2CAF134B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800190"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9003" w14:textId="74467FCA" w:rsidR="00E24ACA" w:rsidRPr="006441BD" w:rsidRDefault="0021462B" w:rsidP="00644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-2598</w:t>
            </w:r>
          </w:p>
        </w:tc>
      </w:tr>
      <w:tr w:rsidR="008B77D4" w:rsidRPr="006441BD" w14:paraId="3EA72AC4" w14:textId="77777777" w:rsidTr="008B77D4">
        <w:trPr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DA50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FC50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 про перегляд судових рішень адміністративного судочинства за нововиявленими обставинам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6D52" w14:textId="77777777" w:rsidR="00E24ACA" w:rsidRPr="006441BD" w:rsidRDefault="00E24ACA" w:rsidP="006441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979D" w14:textId="11C81A87" w:rsidR="00E24ACA" w:rsidRPr="006441BD" w:rsidRDefault="002A0566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3E0C" w14:textId="5383F997" w:rsidR="00E24ACA" w:rsidRPr="006441BD" w:rsidRDefault="00800190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39CC" w14:textId="4FA167FC" w:rsidR="00E24ACA" w:rsidRPr="006441BD" w:rsidRDefault="0021462B" w:rsidP="00644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</w:p>
        </w:tc>
      </w:tr>
      <w:tr w:rsidR="008B77D4" w:rsidRPr="006441BD" w14:paraId="5E565B44" w14:textId="77777777" w:rsidTr="008B77D4">
        <w:trPr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6B02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0258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 про перегляд судових рішень цивільного судочинства за нововиявленими обставинами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C2E8" w14:textId="77777777" w:rsidR="00E24ACA" w:rsidRPr="006441BD" w:rsidRDefault="00E24ACA" w:rsidP="006441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2F6C" w14:textId="759DEF9A" w:rsidR="00E24ACA" w:rsidRPr="006441BD" w:rsidRDefault="002A0566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26B7" w14:textId="090AEB6D" w:rsidR="00E24ACA" w:rsidRPr="006441BD" w:rsidRDefault="00800190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0436" w14:textId="7E1F1545" w:rsidR="00E24ACA" w:rsidRPr="006441BD" w:rsidRDefault="0021462B" w:rsidP="00644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-8</w:t>
            </w:r>
          </w:p>
        </w:tc>
      </w:tr>
      <w:tr w:rsidR="008B77D4" w:rsidRPr="006441BD" w14:paraId="5781BD76" w14:textId="77777777" w:rsidTr="008B77D4">
        <w:trPr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1CC4" w14:textId="77777777" w:rsidR="00E24ACA" w:rsidRPr="006441BD" w:rsidRDefault="00E24ACA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559C" w14:textId="77777777" w:rsidR="00E24ACA" w:rsidRPr="006441BD" w:rsidRDefault="00E24ACA" w:rsidP="006441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 справ і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0350" w14:textId="77777777" w:rsidR="00E24ACA" w:rsidRPr="006441BD" w:rsidRDefault="00E24ACA" w:rsidP="006441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CC09" w14:textId="7B0C9576" w:rsidR="00E24ACA" w:rsidRPr="006441BD" w:rsidRDefault="002A0566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430B" w14:textId="1602896D" w:rsidR="00E24ACA" w:rsidRPr="006441BD" w:rsidRDefault="002A0566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EBAB" w14:textId="097FF965" w:rsidR="00E24ACA" w:rsidRPr="006441BD" w:rsidRDefault="0021462B" w:rsidP="00644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8B77D4" w:rsidRPr="006441BD" w14:paraId="625E4D02" w14:textId="77777777" w:rsidTr="008B77D4">
        <w:trPr>
          <w:trHeight w:val="4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3681" w14:textId="77777777" w:rsidR="009F2AEE" w:rsidRPr="006441BD" w:rsidRDefault="009F2AEE" w:rsidP="006441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B625" w14:textId="77777777" w:rsidR="009F2AEE" w:rsidRPr="006441BD" w:rsidRDefault="009F2AEE" w:rsidP="00644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ADFE" w14:textId="1663CD5E" w:rsidR="009F2AEE" w:rsidRPr="006441BD" w:rsidRDefault="009F2AEE" w:rsidP="00644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A92F" w14:textId="02F678B6" w:rsidR="009F2AEE" w:rsidRPr="006441BD" w:rsidRDefault="00800190" w:rsidP="00644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6DF4" w14:textId="639B08CF" w:rsidR="009F2AEE" w:rsidRPr="006441BD" w:rsidRDefault="004472BD" w:rsidP="00644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  <w:r w:rsidR="001555A7"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0979" w14:textId="477A82B1" w:rsidR="009F2AEE" w:rsidRPr="006441BD" w:rsidRDefault="00553CE8" w:rsidP="00644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662AD2" w:rsidRPr="00644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13696</w:t>
            </w:r>
          </w:p>
        </w:tc>
      </w:tr>
    </w:tbl>
    <w:p w14:paraId="4E82E339" w14:textId="77777777" w:rsidR="005867B7" w:rsidRDefault="005867B7" w:rsidP="006441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8EDB22E" w14:textId="31E237C9" w:rsidR="00B52A84" w:rsidRPr="006441BD" w:rsidRDefault="004454C8" w:rsidP="00E37F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hAnsi="Times New Roman" w:cs="Times New Roman"/>
          <w:b/>
          <w:sz w:val="28"/>
          <w:szCs w:val="28"/>
        </w:rPr>
        <w:t>2.</w:t>
      </w:r>
      <w:r w:rsidR="00111B1C" w:rsidRPr="00644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A84" w:rsidRPr="006441BD">
        <w:rPr>
          <w:rFonts w:ascii="Times New Roman" w:hAnsi="Times New Roman" w:cs="Times New Roman"/>
          <w:b/>
          <w:sz w:val="28"/>
          <w:szCs w:val="28"/>
        </w:rPr>
        <w:t xml:space="preserve">Показники надходження та </w:t>
      </w:r>
      <w:r w:rsidR="00B52A84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 судових справ кримінального провадження</w:t>
      </w:r>
      <w:r w:rsidR="00B52A8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CC238F" w14:textId="3B50C549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провадженні судів першої інстанції у звітному періоді знаходилось на розгляді 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4771</w:t>
      </w:r>
      <w:r w:rsidR="004F787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</w:t>
      </w:r>
      <w:r w:rsidR="00D006A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провадж</w:t>
      </w:r>
      <w:r w:rsidR="000B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</w:t>
      </w:r>
      <w:r w:rsidR="00D006A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нового процесуального кодексу України. За старим КПК у місцевих судах перебувало 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кримінальних справ. </w:t>
      </w:r>
    </w:p>
    <w:p w14:paraId="417D05E8" w14:textId="32B3E1DC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Отже, протягом 20</w:t>
      </w:r>
      <w:r w:rsidR="004D17C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A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17C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у провадженні судів перебувало (з урахуванням залишку на початку року) </w:t>
      </w:r>
      <w:r w:rsidR="009233D3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4785</w:t>
      </w: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кримінальн</w:t>
      </w:r>
      <w:r w:rsidR="00D006A1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справ, проваджень.</w:t>
      </w:r>
    </w:p>
    <w:p w14:paraId="745870C4" w14:textId="11210886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</w:t>
      </w:r>
      <w:r w:rsidR="004D17C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A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765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закінчено </w:t>
      </w:r>
      <w:r w:rsidR="002C13A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741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24A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2944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CF6BC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24ACA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кримінальн</w:t>
      </w:r>
      <w:r w:rsidR="000B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провадження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яких 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1900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0F4D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52C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4B6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52C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4D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E24A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1833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або </w:t>
      </w:r>
      <w:r w:rsidR="004D17C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72B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6EE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2B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836EE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24ACA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розг</w:t>
      </w:r>
      <w:r w:rsidR="0033777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лянуто з постановленням вироку</w:t>
      </w:r>
      <w:r w:rsidR="00C452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777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826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EF4B2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52C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4D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E24A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1038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або 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836EE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24ACA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із закриттям провадження, що відображено в </w:t>
      </w:r>
      <w:r w:rsidR="00586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іаграмі № 1.</w:t>
      </w:r>
    </w:p>
    <w:p w14:paraId="767BC8CE" w14:textId="77777777" w:rsidR="00DB66B5" w:rsidRPr="006441BD" w:rsidRDefault="00DB66B5" w:rsidP="006441BD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Діаграма №1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E71E213" w14:textId="6944BEDD" w:rsidR="00DB66B5" w:rsidRDefault="00DB66B5" w:rsidP="005867B7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Розгляд кримінальних справ, кількість</w:t>
      </w:r>
    </w:p>
    <w:p w14:paraId="0D5B1043" w14:textId="1730851B" w:rsidR="0012100B" w:rsidRDefault="0012100B" w:rsidP="0012100B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рік       </w:t>
      </w:r>
      <w:r w:rsidRPr="006441B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2912AC0F" wp14:editId="3E741591">
            <wp:extent cx="5895975" cy="5753100"/>
            <wp:effectExtent l="0" t="0" r="9525" b="0"/>
            <wp:docPr id="5" name="Діаграма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02A296-59A0-42E9-8A77-3F844B7D29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D1DADA7" w14:textId="77777777" w:rsidR="008B77D4" w:rsidRDefault="008B77D4" w:rsidP="0012100B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E3597E" w14:textId="77777777" w:rsidR="008B77D4" w:rsidRDefault="008B77D4" w:rsidP="0012100B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6F227E" w14:textId="269BBE61" w:rsidR="0012100B" w:rsidRPr="006441BD" w:rsidRDefault="0012100B" w:rsidP="0012100B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2022 рік       </w:t>
      </w:r>
    </w:p>
    <w:p w14:paraId="11FAA269" w14:textId="51A6272B" w:rsidR="000F52D0" w:rsidRPr="006441BD" w:rsidRDefault="0012100B" w:rsidP="0012100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 wp14:anchorId="78F6F0DA" wp14:editId="0DEA0F3F">
            <wp:extent cx="5876925" cy="5257800"/>
            <wp:effectExtent l="0" t="0" r="9525" b="0"/>
            <wp:docPr id="7" name="Діаграма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02A296-59A0-42E9-8A77-3F844B7D29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F52D0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141DF0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14:paraId="3B684590" w14:textId="77777777" w:rsidR="0012100B" w:rsidRDefault="0012100B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6E475" w14:textId="29A50973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структурі розгля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нутих кримінальних проваджень перева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жують злочини проти 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 та здоров'я особи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становлять 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434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24A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814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836EE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A1FB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EF4B2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2E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B3B37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%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836EE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загальної кількості справ, провадження яких закінчено. Більша половина злочинів проти 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життя та здоров'я особи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0E6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462 </w:t>
      </w:r>
      <w:r w:rsidR="007A1FB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EF4B2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– це 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умисне легке тілесне ушкодження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675943" w14:textId="6D2D1D0A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Значну кількість кримінальних проваджень, які розглянуто, становлять</w:t>
      </w:r>
      <w:r w:rsidR="0059218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злочини проти життя та здоров’я особи – 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735</w:t>
      </w:r>
      <w:r w:rsidR="0059218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222E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86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22E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18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 власності –</w:t>
      </w:r>
      <w:r w:rsidR="000F4D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C213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2E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74531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 безпеки руху та експлуатації транспорту 2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74531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(9%),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сфері наркотичних засобів</w:t>
      </w:r>
      <w:r w:rsidR="008F673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9233D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8F673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222E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8F673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7%),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73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 громадської безпеки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20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222E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40720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222E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720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відображено в </w:t>
      </w:r>
      <w:r w:rsidR="00E161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іаграмі № 2.</w:t>
      </w:r>
    </w:p>
    <w:p w14:paraId="3F41057A" w14:textId="77777777" w:rsidR="00E16129" w:rsidRDefault="00E16129" w:rsidP="006441BD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AF5AE76" w14:textId="76C00306" w:rsidR="00DB66B5" w:rsidRPr="006441BD" w:rsidRDefault="00DB66B5" w:rsidP="006441BD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Діаграма №2</w:t>
      </w:r>
    </w:p>
    <w:p w14:paraId="0A83462C" w14:textId="460C4A80" w:rsidR="00DB66B5" w:rsidRPr="006441BD" w:rsidRDefault="00955AED" w:rsidP="00955AED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 р</w:t>
      </w:r>
      <w:r w:rsidR="00DB66B5"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озгляд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DB66B5"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кримінальних справ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 </w:t>
      </w:r>
      <w:r w:rsidR="00DB66B5"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111B1C"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1833CC"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DB66B5"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рік</w:t>
      </w:r>
    </w:p>
    <w:p w14:paraId="6927C273" w14:textId="5428E327" w:rsidR="00DB66B5" w:rsidRPr="006441BD" w:rsidRDefault="004454C8" w:rsidP="0012100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187897A" wp14:editId="2CB7F116">
            <wp:extent cx="5915025" cy="5067300"/>
            <wp:effectExtent l="0" t="0" r="9525" b="0"/>
            <wp:docPr id="10" name="Діаграма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55B425-3D50-48DA-976F-407AC0492F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55BA605" w14:textId="77777777" w:rsidR="00DB66B5" w:rsidRPr="006441BD" w:rsidRDefault="00DB66B5" w:rsidP="006441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6F5B85" w14:textId="66407D8A" w:rsidR="00F50CB0" w:rsidRPr="006441BD" w:rsidRDefault="00F50CB0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період з 24.02.2022 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31.12.2022 року до судів надійшло </w:t>
      </w:r>
      <w:r w:rsidR="00961AD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кримінальн</w:t>
      </w:r>
      <w:r w:rsidR="00961AD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проваджен</w:t>
      </w:r>
      <w:r w:rsidR="00961AD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 основ національної безпеки України. Із них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61AD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посягання територіальн</w:t>
      </w:r>
      <w:r w:rsidR="00643FE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цілісн</w:t>
      </w:r>
      <w:r w:rsidR="00F0302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43FE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недоторка</w:t>
      </w:r>
      <w:r w:rsidR="00643FE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43FE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України,</w:t>
      </w:r>
      <w:r w:rsidR="005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D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D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 спрямовані на насильницьку зміну чи повалення конституційного ладу або на захоплення державної влади, 15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державна зрада</w:t>
      </w:r>
      <w:r w:rsidR="00961AD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1AD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колабораційна діяльність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783A852" w14:textId="01124CEE" w:rsidR="00C563FD" w:rsidRPr="006441BD" w:rsidRDefault="00F50CB0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Значну кількість</w:t>
      </w:r>
      <w:r w:rsidR="00E1457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проваджень,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57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знаходились на розгляді в 2022 році із урахування залишку 2021 року,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становлять провадження проти встановленого порядку</w:t>
      </w:r>
      <w:r w:rsidR="00E1457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несення військової служби 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D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2022 році 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D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проваджень. Ухилення від військової служби становить </w:t>
      </w:r>
      <w:r w:rsidR="00961AD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проваджен</w:t>
      </w:r>
      <w:r w:rsidR="00961AD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них:</w:t>
      </w:r>
      <w:r w:rsidR="004A46F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самовільне залишення військової частини, </w:t>
      </w:r>
      <w:r w:rsidR="004A46F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4D8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дезертирство. </w:t>
      </w:r>
    </w:p>
    <w:p w14:paraId="453006E7" w14:textId="23FF05B3" w:rsidR="00BB181A" w:rsidRPr="006441BD" w:rsidRDefault="00444D8D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Кримінальні провадження проти миру, безпеки людства та міжнародного правопорядку</w:t>
      </w:r>
      <w:r w:rsidR="00BB18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B4C0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18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них виготовлення, поширення комуністичної, нацистської</w:t>
      </w:r>
      <w:r w:rsidR="0063256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символіки та пропаганди комуністичного та націонал-соціалістичного тоталітарних режимів 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B4C0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виправдовування, визнання правомірною, заперечення збройної агресії </w:t>
      </w:r>
      <w:r w:rsidR="00955A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4C0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осійської </w:t>
      </w:r>
      <w:r w:rsidR="00955A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B4C0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едерації проти України, глорифікація її учасників</w:t>
      </w:r>
      <w:r w:rsidR="004A46F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EC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A46F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C0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DFA33C" w14:textId="08BFA60D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</w:t>
      </w:r>
      <w:r w:rsidR="004D17C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A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 розгляді в судах перебувал</w:t>
      </w:r>
      <w:r w:rsidR="000857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6B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кримінальних проваджень </w:t>
      </w:r>
      <w:r w:rsidR="009A61A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злочини щодо легалізації (відмивання) доходів, одержаних злочинним шляхом, фінансування тероризму та фінансування розповсюдження зброї масового знищення </w:t>
      </w:r>
      <w:r w:rsidR="00761EF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20</w:t>
      </w:r>
      <w:r w:rsidR="00836EE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827D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році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24ACA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</w:t>
      </w:r>
      <w:r w:rsidR="00761EF0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Із них </w:t>
      </w:r>
      <w:r w:rsidR="00761EF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6B7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846B7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перебуває в залишку станом на </w:t>
      </w:r>
      <w:r w:rsidR="00761EF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січня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765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A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765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6B7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46B7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862651" w14:textId="6B0C70A1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 20</w:t>
      </w:r>
      <w:r w:rsidR="004D17C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A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в судах перебувало на розгляді </w:t>
      </w:r>
      <w:r w:rsidR="00A836B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кримінальн</w:t>
      </w:r>
      <w:r w:rsidR="00D269A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проваджен</w:t>
      </w:r>
      <w:r w:rsidR="00917F0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 w:rsidR="006C784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36B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61EF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скоїли злочини у складі організованої групи. Розглянуто</w:t>
      </w:r>
      <w:r w:rsidR="006C784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6B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кримінальних проваджень</w:t>
      </w:r>
      <w:r w:rsidR="004C4E3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E3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ідносно </w:t>
      </w:r>
      <w:r w:rsidR="00A836B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 визнано такими, що скоїли злочини у складі організованої групи.</w:t>
      </w:r>
    </w:p>
    <w:p w14:paraId="5778AC05" w14:textId="4FED12E6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вироками, що набрали і не набрали на кінець звітного періоду законної сили, засуджено (з урахуванням статей 69,70,71 КК України) до різних видів покарання </w:t>
      </w:r>
      <w:r w:rsidR="00AF438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90B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</w:t>
      </w:r>
      <w:r w:rsidR="00E24ACA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917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836EE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827D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85233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5233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Загальна кількість виправданих становить </w:t>
      </w:r>
      <w:r w:rsidR="00790B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4C4E3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</w:p>
    <w:p w14:paraId="4B6C174E" w14:textId="76773BC3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судового розгляду кримінальних проваджень звільнено з-під варти із залу судового засідання </w:t>
      </w:r>
      <w:r w:rsidR="00790B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взято під варту </w:t>
      </w:r>
      <w:r w:rsidR="005936F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B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24ACA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836EE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24ACA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88413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8413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на </w:t>
      </w:r>
      <w:r w:rsidR="00790B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790B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90B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13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ше, ніж в 20</w:t>
      </w:r>
      <w:r w:rsidR="0088413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A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1EF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році.</w:t>
      </w:r>
    </w:p>
    <w:p w14:paraId="0CC6DCDD" w14:textId="3E05D575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1 січня 20</w:t>
      </w:r>
      <w:r w:rsidR="0049765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A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залишилося нерозглянутими </w:t>
      </w:r>
      <w:r w:rsidR="00CD1BE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B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044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36EE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24ACA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206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836EE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кримінальних проваджень або </w:t>
      </w:r>
      <w:r w:rsidR="0085233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69723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загального числа тих, що перебували в провадженні судів упродовж звітного періоду.</w:t>
      </w:r>
    </w:p>
    <w:p w14:paraId="40F66A7B" w14:textId="257B15B7" w:rsidR="007E03E6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Слід зазначити, що не розглянуто проваджень понад 6 місяців до 1 року – </w:t>
      </w:r>
      <w:r w:rsidR="00790B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понад 1 рік до 2 років – </w:t>
      </w:r>
      <w:r w:rsidR="00790B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понад 2 роки – </w:t>
      </w:r>
      <w:r w:rsidR="00CD1BE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0B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0B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кримінальн</w:t>
      </w:r>
      <w:r w:rsidR="009A1A9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проваджен</w:t>
      </w:r>
      <w:r w:rsidR="009A1A9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зупинено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році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218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16129" w:rsidRPr="00894E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іаграмі № 3.</w:t>
      </w:r>
    </w:p>
    <w:p w14:paraId="3F1E6872" w14:textId="77777777" w:rsidR="00B32FA2" w:rsidRPr="006441BD" w:rsidRDefault="00B32FA2" w:rsidP="006441BD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5779DAE" w14:textId="77777777" w:rsidR="00E16129" w:rsidRDefault="00E16129" w:rsidP="006441BD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124E97D" w14:textId="77777777" w:rsidR="00E16129" w:rsidRDefault="00E16129" w:rsidP="006441BD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F0A290E" w14:textId="38E91705" w:rsidR="00DB66B5" w:rsidRPr="006441BD" w:rsidRDefault="00DB66B5" w:rsidP="006441BD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Діаграма №3</w:t>
      </w:r>
    </w:p>
    <w:p w14:paraId="5E1778AE" w14:textId="44CF7360" w:rsidR="004454C8" w:rsidRPr="006441BD" w:rsidRDefault="006A2CE5" w:rsidP="006441B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</w:t>
      </w:r>
      <w:r w:rsidR="00DB66B5"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Кількість не розглянутих справ на кінець </w:t>
      </w:r>
      <w:r w:rsidR="00F4335F"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звітного</w:t>
      </w:r>
      <w:r w:rsidR="00DB66B5"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періоду</w:t>
      </w:r>
    </w:p>
    <w:p w14:paraId="3F8C8BE6" w14:textId="076B95A4" w:rsidR="004454C8" w:rsidRPr="006441BD" w:rsidRDefault="006441BD" w:rsidP="00E16129">
      <w:pPr>
        <w:tabs>
          <w:tab w:val="left" w:pos="414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uk-UA"/>
        </w:rPr>
        <w:drawing>
          <wp:inline distT="0" distB="0" distL="0" distR="0" wp14:anchorId="08138A5C" wp14:editId="27A8AEA3">
            <wp:extent cx="5924550" cy="4476750"/>
            <wp:effectExtent l="0" t="0" r="0" b="0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586FD-6B9D-439F-B1ED-41C15288ED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6D59D4" w14:textId="1A7680ED" w:rsidR="004454C8" w:rsidRPr="006441BD" w:rsidRDefault="004454C8" w:rsidP="006441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87DC6" w14:textId="1E06421D" w:rsidR="00B52A84" w:rsidRPr="006441BD" w:rsidRDefault="004454C8" w:rsidP="00E37F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hAnsi="Times New Roman" w:cs="Times New Roman"/>
          <w:b/>
          <w:sz w:val="28"/>
          <w:szCs w:val="28"/>
        </w:rPr>
        <w:t>3.</w:t>
      </w:r>
      <w:r w:rsidR="00B52A84" w:rsidRPr="006441BD">
        <w:rPr>
          <w:rFonts w:ascii="Times New Roman" w:hAnsi="Times New Roman" w:cs="Times New Roman"/>
          <w:sz w:val="28"/>
          <w:szCs w:val="28"/>
        </w:rPr>
        <w:t xml:space="preserve"> </w:t>
      </w:r>
      <w:r w:rsidR="00B52A84" w:rsidRPr="006441BD">
        <w:rPr>
          <w:rFonts w:ascii="Times New Roman" w:hAnsi="Times New Roman" w:cs="Times New Roman"/>
          <w:b/>
          <w:sz w:val="28"/>
          <w:szCs w:val="28"/>
        </w:rPr>
        <w:t xml:space="preserve">Показники надходження та </w:t>
      </w:r>
      <w:r w:rsidR="00B52A84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розгляд судових </w:t>
      </w:r>
      <w:r w:rsidR="0095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34DE1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 </w:t>
      </w:r>
      <w:r w:rsidR="00B52A84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цивільного провадження.</w:t>
      </w:r>
    </w:p>
    <w:p w14:paraId="0177F0BA" w14:textId="2292AB65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 20</w:t>
      </w:r>
      <w:r w:rsidR="004D17C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72B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68D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році в провадженні судів перебувало </w:t>
      </w:r>
      <w:r w:rsidR="004D6C8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68D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3722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8210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B26F19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рік 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</w:t>
      </w: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позовного провадження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на</w:t>
      </w:r>
      <w:r w:rsidR="004D6C8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8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5233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 ніж у попередньому періоді.</w:t>
      </w:r>
    </w:p>
    <w:p w14:paraId="6BB2023E" w14:textId="098A69B7" w:rsidR="007E03E6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Загальна кількість справ, провадження яких закінчено, склала </w:t>
      </w:r>
      <w:r w:rsidR="005548C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68D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0275</w:t>
      </w:r>
      <w:r w:rsidR="00A8020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3703</w:t>
      </w:r>
      <w:r w:rsidR="00546614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246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яких: </w:t>
      </w:r>
      <w:r w:rsidR="002368D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9020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1978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розглянуто з ухваленням рішення, (із них з задоволенням позову – </w:t>
      </w:r>
      <w:r w:rsidR="002368D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8390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020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D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440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F308E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проваджен</w:t>
      </w:r>
      <w:r w:rsidR="00C5301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закрито; </w:t>
      </w:r>
      <w:r w:rsidR="00EE183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843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178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залишенням заяви без розгляду; </w:t>
      </w:r>
      <w:r w:rsidR="004D6C8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368D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D17C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рік) </w:t>
      </w:r>
      <w:r w:rsidR="0013491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передано за підсудністю в інші суди, що відображено в </w:t>
      </w:r>
      <w:r w:rsidR="006441BD"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іаграмі № 4</w:t>
      </w:r>
      <w:r w:rsidR="00E37FD7" w:rsidRPr="00107E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F87658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401AF65" w14:textId="77777777" w:rsidR="00E16129" w:rsidRDefault="00E16129" w:rsidP="006441BD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E8FB938" w14:textId="77777777" w:rsidR="00E16129" w:rsidRDefault="00E16129" w:rsidP="006441BD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6A48A8B" w14:textId="4982ADE1" w:rsidR="00DB66B5" w:rsidRDefault="00DB66B5" w:rsidP="006441BD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Діаграма №4</w:t>
      </w:r>
    </w:p>
    <w:p w14:paraId="35557F8F" w14:textId="455D6CD8" w:rsidR="00E16129" w:rsidRPr="006441BD" w:rsidRDefault="00E16129" w:rsidP="00E16129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рік                                                                                                     </w:t>
      </w:r>
    </w:p>
    <w:p w14:paraId="4E16BB16" w14:textId="7F8FA943" w:rsidR="00DB66B5" w:rsidRPr="006441BD" w:rsidRDefault="006441BD" w:rsidP="00E161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11F2565" wp14:editId="4B34CBCB">
            <wp:extent cx="5895975" cy="4114800"/>
            <wp:effectExtent l="0" t="0" r="9525" b="0"/>
            <wp:docPr id="11" name="Діаграма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98AA74-51C3-4E4B-9896-CAE4DA844F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B66B5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9140E16" w14:textId="3C29FE8E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CAEF43B" w14:textId="69C5EB3F" w:rsidR="004454C8" w:rsidRPr="006441BD" w:rsidRDefault="004454C8" w:rsidP="00E16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F6EC5" w:rsidRPr="0064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64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рік</w:t>
      </w:r>
    </w:p>
    <w:p w14:paraId="6521DA3B" w14:textId="523CA152" w:rsidR="004454C8" w:rsidRPr="006441BD" w:rsidRDefault="00B94E6B" w:rsidP="00E161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 wp14:anchorId="52DFB9FD" wp14:editId="110C9669">
            <wp:extent cx="5915025" cy="3857625"/>
            <wp:effectExtent l="0" t="0" r="9525" b="9525"/>
            <wp:docPr id="13" name="Діаграма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98AA74-51C3-4E4B-9896-CAE4DA844F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027A5C1" w14:textId="71230196" w:rsidR="00E16129" w:rsidRDefault="00DB66B5" w:rsidP="00E16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Серед розглянутих у 20</w:t>
      </w:r>
      <w:r w:rsidR="00034DE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72B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– </w:t>
      </w:r>
      <w:r w:rsidR="00F15E30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02061C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0275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3703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78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найбільшу кількість становлять спори, що виникають із сімейних правовідносин – </w:t>
      </w:r>
      <w:r w:rsidR="0002061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5116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6259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; із договірних право</w:t>
      </w:r>
      <w:r w:rsidR="004D6C8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чинів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2061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2213</w:t>
      </w:r>
      <w:r w:rsidR="00F15E3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3403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D6C8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відносин спадкування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2061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737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179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472B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відображено в </w:t>
      </w:r>
      <w:r w:rsidR="00E161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іаграмі № 5.</w:t>
      </w:r>
      <w:r w:rsidR="00DF4162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5D2728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14:paraId="0448CF02" w14:textId="6F9632CC" w:rsidR="00DB66B5" w:rsidRPr="006441BD" w:rsidRDefault="005D2728" w:rsidP="00E1612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66B5"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Діаграма №5</w:t>
      </w:r>
    </w:p>
    <w:p w14:paraId="3856BAF1" w14:textId="3C0EE1D0" w:rsidR="00DB66B5" w:rsidRPr="00E16129" w:rsidRDefault="00DB66B5" w:rsidP="00E16129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Справи позовного провадження</w:t>
      </w:r>
    </w:p>
    <w:p w14:paraId="123A2944" w14:textId="3C138102" w:rsidR="006A2CE5" w:rsidRPr="006441BD" w:rsidRDefault="005D2728" w:rsidP="00E161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348F268" wp14:editId="3AA234DF">
            <wp:extent cx="5924550" cy="3914775"/>
            <wp:effectExtent l="0" t="0" r="0" b="9525"/>
            <wp:docPr id="15" name="Діаграма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90CFD2-4BFB-4D93-846A-DF99C3C832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C4DC6C8" w14:textId="77777777" w:rsidR="006A2CE5" w:rsidRPr="006441BD" w:rsidRDefault="006A2CE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FBF86" w14:textId="605A9AD5" w:rsidR="00692726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</w:t>
      </w:r>
      <w:r w:rsidR="004D17C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в судах перебувало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061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638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466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00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 </w:t>
      </w: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окремого провадження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 Із них розглянуто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0400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061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322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400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</w:t>
      </w:r>
      <w:r w:rsidR="000E251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ухваленням рішення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0055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139A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0E251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020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00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задоволенням </w:t>
      </w:r>
      <w:r w:rsidR="000E251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0055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2061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2F33B7D" w14:textId="6621C0C7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 окремого провадження судами у звітному періоді розглянуто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0055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061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322</w:t>
      </w:r>
      <w:r w:rsidR="00A8020F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проваджен</w:t>
      </w:r>
      <w:r w:rsidR="009C303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9358A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216</w:t>
      </w:r>
      <w:r w:rsidR="004976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Із них найбільшу кількість становлять справи про встановлення фактів, що мають юридичне значення – </w:t>
      </w:r>
      <w:r w:rsidR="0010055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061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F308E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836</w:t>
      </w:r>
      <w:r w:rsidR="004976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5E781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08E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2828B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обмеження цивільної дієздатності фізичної особи, визнання фізичної особи недієздатною та поновлення цивільної дієздатності фізичної особи – 1</w:t>
      </w:r>
      <w:r w:rsidR="0002061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2828B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8BB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="002828BB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828B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28BB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2828BB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="002828B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F308E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828B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справи про </w:t>
      </w:r>
      <w:r w:rsidR="0002061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усиновлення</w:t>
      </w:r>
      <w:r w:rsidR="002828B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2061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2828B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8B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або 7 % </w:t>
      </w:r>
      <w:r w:rsidR="002828BB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81</w:t>
      </w:r>
      <w:r w:rsidR="002828B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28BB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</w:t>
      </w:r>
      <w:r w:rsidR="002828BB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рік)</w:t>
      </w:r>
      <w:r w:rsidR="00955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справи, що виникають із сімейних правовідносин – </w:t>
      </w:r>
      <w:r w:rsidR="0010055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рік)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</w:t>
      </w:r>
      <w:r w:rsidR="005E781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28B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AB3D3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3E1302" w14:textId="13CCEA17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Судами розглянуто </w:t>
      </w:r>
      <w:r w:rsidR="003139A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C0249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усиновлення дітей, в тому числі із ухваленням рішення – </w:t>
      </w:r>
      <w:r w:rsidR="003139A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них 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39A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задоволено. Із числа задоволених рішень по усиновленню </w:t>
      </w:r>
      <w:r w:rsidR="003139A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C77EC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7EC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139A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дівч</w:t>
      </w:r>
      <w:r w:rsidR="009D07C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139A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6C2373" w14:textId="0A21B913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справах </w:t>
      </w:r>
      <w:r w:rsidR="005A08C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 судочинства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відкладено </w:t>
      </w:r>
      <w:r w:rsidR="003139A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E44345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048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Із них найбільшу кількість становлять: через неявку </w:t>
      </w:r>
      <w:r w:rsidR="00C0249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з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 процесу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139A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479</w:t>
      </w:r>
      <w:r w:rsidR="007F56F7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D17CD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рік) в тому. числі: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невручення судових повісток – </w:t>
      </w:r>
      <w:r w:rsidR="003139A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рік),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інших підстав </w:t>
      </w:r>
      <w:r w:rsidR="003139A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63767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</w:t>
      </w:r>
      <w:r w:rsidR="004F0E6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неявку інших учасників процесу – </w:t>
      </w:r>
      <w:r w:rsidR="003139A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2A7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рік).</w:t>
      </w:r>
    </w:p>
    <w:p w14:paraId="4F989FA9" w14:textId="54FAEECD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</w:t>
      </w:r>
      <w:r w:rsidR="004D17C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кількість справ, які відкладено понад 6 місяців до 1 року становить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C0AA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329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понад 1 рік до 2 років – </w:t>
      </w:r>
      <w:r w:rsidR="008C0AA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понад 2 роки – </w:t>
      </w:r>
      <w:r w:rsidR="00A861D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AA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288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E1331F" w14:textId="7D5C81DA" w:rsidR="009F0C53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кінець звітного періоду залишились нерозглянутими </w:t>
      </w:r>
      <w:r w:rsidR="008C0AA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3592</w:t>
      </w:r>
      <w:r w:rsidR="006214E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позовного та окремого (без урахування клопотань) або 2</w:t>
      </w:r>
      <w:r w:rsidR="0017012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від усіх, що перебували в провадженні протягом 20</w:t>
      </w:r>
      <w:r w:rsidR="0013734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7D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році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4757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46614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провадження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Слід зазначити, що </w:t>
      </w:r>
      <w:r w:rsidR="008C0AA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436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C36A5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розглянуто з порушенням встановлених ЦПК.</w:t>
      </w:r>
    </w:p>
    <w:p w14:paraId="6DCD1E05" w14:textId="77777777" w:rsidR="009F0C53" w:rsidRPr="006441BD" w:rsidRDefault="009F0C53" w:rsidP="006441BD">
      <w:pPr>
        <w:pStyle w:val="a8"/>
        <w:spacing w:after="0" w:line="360" w:lineRule="auto"/>
        <w:ind w:left="0" w:firstLine="709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4ABB66" w14:textId="37ED8B4E" w:rsidR="00DB66B5" w:rsidRPr="006D0DEF" w:rsidRDefault="00956735" w:rsidP="00E37FD7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52A84" w:rsidRPr="006441BD">
        <w:rPr>
          <w:rFonts w:ascii="Times New Roman" w:hAnsi="Times New Roman" w:cs="Times New Roman"/>
          <w:sz w:val="28"/>
          <w:szCs w:val="28"/>
        </w:rPr>
        <w:t xml:space="preserve"> </w:t>
      </w:r>
      <w:r w:rsidR="00B52A84" w:rsidRPr="006441BD">
        <w:rPr>
          <w:rFonts w:ascii="Times New Roman" w:hAnsi="Times New Roman" w:cs="Times New Roman"/>
          <w:b/>
          <w:sz w:val="28"/>
          <w:szCs w:val="28"/>
        </w:rPr>
        <w:t xml:space="preserve">Показники надходження та </w:t>
      </w:r>
      <w:r w:rsidR="00B52A84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</w:t>
      </w:r>
      <w:r w:rsidR="0095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52A84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судових справ адміністративного провадження. </w:t>
      </w:r>
    </w:p>
    <w:p w14:paraId="2B03DC19" w14:textId="28AFD03F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</w:t>
      </w:r>
      <w:r w:rsidR="0013734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у судах перебувало </w:t>
      </w:r>
      <w:r w:rsidR="00B42AD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551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20</w:t>
      </w:r>
      <w:r w:rsidR="0006185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адміністративни</w:t>
      </w:r>
      <w:r w:rsidR="0095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позов</w:t>
      </w:r>
      <w:r w:rsidR="0095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Із них розглянуто – </w:t>
      </w:r>
      <w:r w:rsidR="00B42AD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529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повернуто –</w:t>
      </w:r>
      <w:r w:rsidR="009E246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55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2AD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залишено без розгляду – </w:t>
      </w:r>
      <w:r w:rsidR="00B42AD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відмовлено у відкритті провадження – </w:t>
      </w:r>
      <w:r w:rsidR="00B42AD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відкрито провадження </w:t>
      </w:r>
      <w:r w:rsidR="004F0E6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218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AD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805741" w14:textId="50BF4214" w:rsidR="00AB3D3C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Протягом року на розгляді в судах перебувало </w:t>
      </w:r>
      <w:r w:rsidR="00B42AD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565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них розглянуто – </w:t>
      </w:r>
      <w:r w:rsidR="002B797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427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78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рік).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Найбільшу кількість становлять: </w:t>
      </w:r>
      <w:r w:rsidR="002B797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  <w:r w:rsidR="001A710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</w:t>
      </w:r>
      <w:r w:rsidR="003457C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C36A5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503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справ зі спорів з приводу забезпечення громадського порядку та безпеки; </w:t>
      </w:r>
      <w:r w:rsidR="003457C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або 5 % </w:t>
      </w:r>
      <w:r w:rsidR="003457CB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(21 </w:t>
      </w:r>
      <w:r w:rsidR="003457C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457CB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2021 рік) </w:t>
      </w:r>
      <w:r w:rsidR="003457C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проваджень з перебування іноземців та осіб без громадянства на території </w:t>
      </w:r>
      <w:r w:rsidR="003457C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України, </w:t>
      </w:r>
      <w:r w:rsidR="002B797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3457C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6A5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C308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5545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</w:t>
      </w:r>
      <w:r w:rsidR="00A737F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545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приводу регулювання містобудівної діяльності,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іаграма №6.</w:t>
      </w:r>
    </w:p>
    <w:p w14:paraId="7CA033F3" w14:textId="22547D05" w:rsidR="00DB66B5" w:rsidRPr="006441BD" w:rsidRDefault="00DB66B5" w:rsidP="006441BD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Діаграма №6</w:t>
      </w:r>
    </w:p>
    <w:p w14:paraId="28F5DB3A" w14:textId="41FB901C" w:rsidR="00DB66B5" w:rsidRPr="006441BD" w:rsidRDefault="00DB66B5" w:rsidP="006441BD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Справи адміністративного провадження</w:t>
      </w:r>
    </w:p>
    <w:p w14:paraId="7AE813E9" w14:textId="71E79975" w:rsidR="00DB66B5" w:rsidRPr="006441BD" w:rsidRDefault="006D0DEF" w:rsidP="006D0D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E7F43B4" wp14:editId="197E640F">
            <wp:extent cx="5924550" cy="4752975"/>
            <wp:effectExtent l="0" t="0" r="0" b="9525"/>
            <wp:docPr id="16" name="Діаграма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83BEA3-111F-421B-B52E-49F9722638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7ACD4A3" w14:textId="77777777" w:rsidR="009C303E" w:rsidRPr="006441BD" w:rsidRDefault="009C303E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25898" w14:textId="68B0F0C7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3734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розглянуто </w:t>
      </w:r>
      <w:r w:rsidR="001450C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427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адміністративного провадження, з них: </w:t>
      </w:r>
      <w:r w:rsidR="001450C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387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із прийняттям постанови (із задоволенням позову – </w:t>
      </w:r>
      <w:r w:rsidR="00DA473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із закриттям провадження у справі – </w:t>
      </w:r>
      <w:r w:rsidR="001450C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залишенням заяви без розгляду – </w:t>
      </w:r>
      <w:r w:rsidR="001450C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передано в інші суди – </w:t>
      </w:r>
      <w:r w:rsidR="001450C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4F0D8713" w14:textId="48735819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Залишилось нерозглянутих на кінець 20</w:t>
      </w:r>
      <w:r w:rsidR="0018704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="005F1D8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50C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5F1D8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 адміністративного провадження, із них – </w:t>
      </w:r>
      <w:r w:rsidR="001450C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проваджень, яких зупинено.</w:t>
      </w:r>
    </w:p>
    <w:p w14:paraId="5503C529" w14:textId="667C43BF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справах адміністративного провадження відкладено </w:t>
      </w:r>
      <w:r w:rsidR="001450C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72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="0039371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Основними причинами відкладення адміністративних </w:t>
      </w:r>
      <w:r w:rsidR="0054661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проваджень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 неявка однієї із сторін або будь-кого з інших учасників процесу, що беруть участь у справі – </w:t>
      </w:r>
      <w:r w:rsidR="001450C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22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C501C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9C501C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рік</w:t>
      </w:r>
      <w:r w:rsidR="009C501C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тому числі: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невручення судових повісток –</w:t>
      </w:r>
      <w:r w:rsidR="005F1D8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рік),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інших підстав – </w:t>
      </w:r>
      <w:r w:rsidR="001450C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рік).</w:t>
      </w:r>
    </w:p>
    <w:p w14:paraId="0CAF86E5" w14:textId="5ECEFF0B" w:rsidR="00DB66B5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судах протягом 20</w:t>
      </w:r>
      <w:r w:rsidR="0013734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кількість справ, розгляд яких відкладено понад 6 місяців до 1 року становить </w:t>
      </w:r>
      <w:r w:rsidR="00DA473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справ, понад 1 рік до 2 років – </w:t>
      </w:r>
      <w:r w:rsidR="00DA473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понад </w:t>
      </w:r>
      <w:r w:rsidR="00C830C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– </w:t>
      </w:r>
      <w:r w:rsidR="00DA473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1B1FB0" w14:textId="77777777" w:rsidR="006D0DEF" w:rsidRPr="006441BD" w:rsidRDefault="006D0DEF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66170" w14:textId="69C2FC37" w:rsidR="00DB66B5" w:rsidRPr="006D0DEF" w:rsidRDefault="006D0DEF" w:rsidP="00E37FD7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DE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52A84" w:rsidRPr="006441BD">
        <w:rPr>
          <w:rFonts w:ascii="Times New Roman" w:hAnsi="Times New Roman" w:cs="Times New Roman"/>
          <w:b/>
          <w:sz w:val="28"/>
          <w:szCs w:val="28"/>
        </w:rPr>
        <w:t xml:space="preserve">Показники надходження та </w:t>
      </w:r>
      <w:r w:rsidR="00B52A84" w:rsidRPr="006D0DEF">
        <w:rPr>
          <w:rFonts w:ascii="Times New Roman" w:hAnsi="Times New Roman" w:cs="Times New Roman"/>
          <w:b/>
          <w:sz w:val="28"/>
          <w:szCs w:val="28"/>
        </w:rPr>
        <w:t>розгляд судових справ про адміністративні правопорушення</w:t>
      </w:r>
      <w:r w:rsidR="00956735" w:rsidRPr="006D0DEF">
        <w:rPr>
          <w:rFonts w:ascii="Times New Roman" w:hAnsi="Times New Roman" w:cs="Times New Roman"/>
          <w:b/>
          <w:sz w:val="28"/>
          <w:szCs w:val="28"/>
        </w:rPr>
        <w:t>.</w:t>
      </w:r>
    </w:p>
    <w:p w14:paraId="46D4DB2E" w14:textId="625A4ACD" w:rsidR="00E050B4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 20</w:t>
      </w:r>
      <w:r w:rsidR="0013734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22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17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 розгляд до судів надійшло </w:t>
      </w:r>
      <w:r w:rsidR="00FA021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22135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1362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4483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1362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</w:t>
      </w:r>
      <w:r w:rsidR="00E171F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r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адміністративне правопорушення. </w:t>
      </w:r>
    </w:p>
    <w:p w14:paraId="6EE95737" w14:textId="78B87567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Повернуто </w:t>
      </w:r>
      <w:r w:rsidR="00A21DD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021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042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E171F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адміністративне правопорушення</w:t>
      </w:r>
      <w:r w:rsidR="00FB30B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B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77977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1786</w:t>
      </w:r>
      <w:r w:rsidR="00E171F9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B30B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30B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877977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FB30BE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них </w:t>
      </w:r>
      <w:r w:rsidR="00FA021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873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877977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526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877977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повернуто органам, що склали протоколи про вчинення адміністративних правопорушень для неналежного оформлення.</w:t>
      </w:r>
    </w:p>
    <w:p w14:paraId="08C3BB37" w14:textId="7120446D" w:rsidR="00E050B4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розгляду протоколів про адміністративні правопорушення розглянуто </w:t>
      </w:r>
      <w:r w:rsidR="00FA021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18966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77977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20076</w:t>
      </w:r>
      <w:r w:rsidR="00C11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877977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 відносно </w:t>
      </w:r>
      <w:r w:rsidR="00FA021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18969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осіб. </w:t>
      </w:r>
      <w:r w:rsidR="00E050B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7F1E58D" w14:textId="08B4C89E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Стосовно </w:t>
      </w:r>
      <w:r w:rsidR="00FA021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7234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77977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8344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877977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рік)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4445E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б провадження в справі закрито</w:t>
      </w:r>
      <w:r w:rsidR="00A21DD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09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021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317</w:t>
      </w:r>
      <w:r w:rsidRPr="006441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A473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звільненням від адміністративної відповідальності при малозначності правопорушення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877977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530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3777C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877977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рік),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стосовно </w:t>
      </w:r>
      <w:r w:rsidR="00FA021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DA473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021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327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77977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4000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877977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137349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рік)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 закрито</w:t>
      </w:r>
      <w:r w:rsidR="00DA473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закінченням строків накладення адміністративного стягнення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326790C0" w14:textId="58EBE1C2" w:rsidR="00B11626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адміністративної відповідальності притягнуто </w:t>
      </w:r>
      <w:r w:rsidR="0017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11550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E171F9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(що </w:t>
      </w:r>
      <w:r w:rsidR="00563A94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тільки на 12</w:t>
      </w:r>
      <w:r w:rsidR="00877977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</w:t>
      </w:r>
      <w:r w:rsidR="00563A94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 </w:t>
      </w:r>
      <w:r w:rsidR="00563A94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ше, в порівнянні </w:t>
      </w:r>
      <w:r w:rsidR="005A7851" w:rsidRPr="005A78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 2021 роком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Аналіз застосованих судами адміністративних стягнень свідчить, що </w:t>
      </w:r>
      <w:r w:rsidR="00A21DD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7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</w:t>
      </w:r>
      <w:r w:rsidR="00C1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4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3A9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ос</w:t>
      </w:r>
      <w:r w:rsidR="00E2329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3D2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притягнутих до адміністративної відповідальності –</w:t>
      </w:r>
      <w:r w:rsidR="00C1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оштрафовано; </w:t>
      </w:r>
      <w:r w:rsidR="0017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19069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63A9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правопорушник</w:t>
      </w:r>
      <w:r w:rsidR="0053251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позбавлено спеціального права, адміністративний арешт – </w:t>
      </w:r>
      <w:r w:rsidR="00AF3D0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327E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</w:t>
      </w:r>
      <w:r w:rsidR="0019069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63A94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громадські роботи – </w:t>
      </w:r>
      <w:r w:rsidR="00036E51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96183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069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00734A4E" w14:textId="4A28ECAB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Адміністративне стягнення (основне і додаткове) у вигляді конфіскації предмета, який став знаряддям вчинення або безпосереднім об’єктом адміністративного правопорушення, застосовано до 1</w:t>
      </w:r>
      <w:r w:rsidR="0017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осіб. </w:t>
      </w:r>
    </w:p>
    <w:p w14:paraId="61F653BF" w14:textId="7E0E0F83" w:rsidR="00E050B4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року на розгляд до судів надійшло </w:t>
      </w:r>
      <w:r w:rsidR="00173093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про адміністративні правопорушення за ст.173 КУпАП. Із них: </w:t>
      </w:r>
      <w:r w:rsidR="007A675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A675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 було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повернуто, </w:t>
      </w:r>
      <w:r w:rsidR="0017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належного оформлення, </w:t>
      </w:r>
      <w:r w:rsidR="007A675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094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розглянуто і накладено стягнення. </w:t>
      </w:r>
    </w:p>
    <w:p w14:paraId="10E16415" w14:textId="4419808B" w:rsidR="009F0C53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Основним стягненням було накладення штрафу щодо </w:t>
      </w:r>
      <w:r w:rsidR="0017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660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осіб. Щодо </w:t>
      </w:r>
      <w:r w:rsidR="007A675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  <w:r w:rsidR="00E2329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0D1E7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б справ</w:t>
      </w:r>
      <w:r w:rsidR="001C3D20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закрито, </w:t>
      </w:r>
      <w:r w:rsidR="00EF3A5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7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="007A675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осіб справи закрито за відсутністю події </w:t>
      </w:r>
      <w:r w:rsidR="00AF3D02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складу адміністративного правопорушення. Динаміку правопорушень за ст.173 КУпАП показано в </w:t>
      </w:r>
      <w:r w:rsidR="006D0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іаграмі №7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A3112" w:rsidRPr="00644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14:paraId="5E2D1B05" w14:textId="31C921F1" w:rsidR="00DB66B5" w:rsidRPr="006441BD" w:rsidRDefault="00D42DB4" w:rsidP="006D0DEF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DB66B5"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Діаграма №7</w:t>
      </w:r>
    </w:p>
    <w:p w14:paraId="03727360" w14:textId="77777777" w:rsidR="00DB66B5" w:rsidRPr="006441BD" w:rsidRDefault="00DB66B5" w:rsidP="006441BD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Динаміка правопорушень за ст.173 КУпАП</w:t>
      </w:r>
    </w:p>
    <w:p w14:paraId="7899E724" w14:textId="1277A903" w:rsidR="00DB66B5" w:rsidRPr="006441BD" w:rsidRDefault="00D42DB4" w:rsidP="006D0D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39B802E" wp14:editId="645D48E9">
            <wp:extent cx="5972175" cy="4600575"/>
            <wp:effectExtent l="0" t="0" r="9525" b="9525"/>
            <wp:docPr id="17" name="Діаграма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799681-892A-4140-8C74-471464C112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34553E1" w14:textId="77777777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8D26F" w14:textId="1396DFB2" w:rsidR="0053251B" w:rsidRPr="006441BD" w:rsidRDefault="0063574D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2022 року до судів надійшл</w:t>
      </w:r>
      <w:r w:rsidR="00D3678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адміністративні правопорушення</w:t>
      </w:r>
      <w:r w:rsidR="0053251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74E027A" w14:textId="5F450340" w:rsidR="0053251B" w:rsidRPr="006441BD" w:rsidRDefault="0053251B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574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ст.172-11 КУпА</w:t>
      </w:r>
      <w:r w:rsidR="008F6A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574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3574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самовільне залишення військової частини або місця служби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3678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334D91" w14:textId="0E3DF95B" w:rsidR="0053251B" w:rsidRPr="006441BD" w:rsidRDefault="0053251B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574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ст.172-15 КУпАП 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574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недбале ставлення до військової служби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3678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BA5AA4" w14:textId="59D9A93A" w:rsidR="0053251B" w:rsidRPr="006441BD" w:rsidRDefault="0053251B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678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ст.172-17 КУпАП – </w:t>
      </w:r>
      <w:r w:rsidR="0063574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 правил несення бойового чергування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3678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3574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0BF598" w14:textId="4A5CA9AA" w:rsidR="0053251B" w:rsidRPr="006441BD" w:rsidRDefault="0053251B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F6A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ст.172-18 КУпАП 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574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порушення правил несення прикордонної служб</w:t>
      </w:r>
      <w:r w:rsidR="008F6A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3678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6A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5B6688" w14:textId="1CCDD9A5" w:rsidR="008F6AD6" w:rsidRPr="006441BD" w:rsidRDefault="0053251B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6A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ст.212-2 КУпАП 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F6AD6" w:rsidRPr="006441BD">
        <w:rPr>
          <w:rFonts w:ascii="Times New Roman" w:hAnsi="Times New Roman" w:cs="Times New Roman"/>
          <w:sz w:val="28"/>
          <w:szCs w:val="28"/>
        </w:rPr>
        <w:t xml:space="preserve"> </w:t>
      </w:r>
      <w:r w:rsidR="008F6A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 законодавства про державну таємницю</w:t>
      </w:r>
      <w:r w:rsidR="007F56F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3678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F6AD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747807" w14:textId="0E7950D1" w:rsidR="00DB66B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вчинення адміністративних правопорушень судами накладено стягнення у вигляді штрафу на суму </w:t>
      </w:r>
      <w:r w:rsidR="0017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65673739 гр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н., з яких </w:t>
      </w:r>
      <w:r w:rsidR="007A675C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4938412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 сплачено в добровільному порядку.</w:t>
      </w:r>
    </w:p>
    <w:p w14:paraId="08EF32FB" w14:textId="5C31480F" w:rsidR="006A2CE5" w:rsidRPr="006441BD" w:rsidRDefault="00DB66B5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вчинення правопорушень завдано матеріальної шкоди на суму                  </w:t>
      </w:r>
      <w:r w:rsidR="0017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16877</w:t>
      </w:r>
      <w:r w:rsidR="00190696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грн. Добровільно відшкодовано </w:t>
      </w:r>
      <w:r w:rsidR="00173B37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3213</w:t>
      </w:r>
      <w:r w:rsidR="00997C1A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грн., що становить </w:t>
      </w:r>
      <w:r w:rsidR="00A5507B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від загальної суми, завданих збитків 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20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DA3CD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році </w:t>
      </w:r>
      <w:r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DA3CD5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13475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грн. </w:t>
      </w:r>
      <w:r w:rsidR="001071D1"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</w:t>
      </w:r>
      <w:r w:rsidRPr="00644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%).</w:t>
      </w:r>
    </w:p>
    <w:p w14:paraId="7EABF285" w14:textId="77777777" w:rsidR="00231C22" w:rsidRPr="006441BD" w:rsidRDefault="00231C22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EE3ED" w14:textId="024D2812" w:rsidR="00F6393A" w:rsidRPr="006441BD" w:rsidRDefault="00B0115A" w:rsidP="00E37FD7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6A2CE5" w:rsidRPr="0064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B66B5" w:rsidRPr="0064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Висновок</w:t>
      </w:r>
    </w:p>
    <w:p w14:paraId="72F3047C" w14:textId="77777777" w:rsidR="00CB58C3" w:rsidRPr="006441BD" w:rsidRDefault="00A737FE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Отже, в 202</w:t>
      </w:r>
      <w:r w:rsidR="00E24F07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66B5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році у судах спостерігається тенденція щодо з</w:t>
      </w:r>
      <w:r w:rsidR="00E24F07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="00DB66B5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шення кількості судових справ, матеріалів. Так, протягом року перебувало </w:t>
      </w:r>
      <w:r w:rsidR="00E24F07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15364 </w:t>
      </w:r>
      <w:r w:rsidR="00DB66B5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кримінальних проваджень, справ та матеріалів, </w:t>
      </w:r>
      <w:r w:rsidR="00E24F07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559</w:t>
      </w:r>
      <w:r w:rsidR="00DB66B5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адміністративних справ, матеріалів, </w:t>
      </w:r>
      <w:r w:rsidR="00E24F07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17793</w:t>
      </w:r>
      <w:r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6B5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цивільних </w:t>
      </w:r>
      <w:r w:rsidR="00E24F07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проваджень</w:t>
      </w:r>
      <w:r w:rsidR="00DB66B5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матеріалів та </w:t>
      </w:r>
      <w:r w:rsidR="00E24F07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19893 </w:t>
      </w:r>
      <w:r w:rsidR="00DB66B5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</w:t>
      </w:r>
      <w:r w:rsidR="00E24F07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B66B5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адміністративні правопорушення</w:t>
      </w:r>
      <w:r w:rsidR="00E050B4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6AD862" w14:textId="759CF888" w:rsidR="004313D6" w:rsidRPr="006441BD" w:rsidRDefault="00CB58C3" w:rsidP="00644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період з 24.02.2022-31.12.2022 до місцевих судів </w:t>
      </w:r>
      <w:r w:rsidR="001B2166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надійшли кримінальні провадження про злочини проти основ національної безпеки України</w:t>
      </w:r>
      <w:r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DB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2166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кримінальне провадження. Злочини проти  встановленого порядку несення військової служби</w:t>
      </w:r>
      <w:r w:rsidR="00D85DBD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DB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2166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58,</w:t>
      </w:r>
      <w:r w:rsidR="001B2166" w:rsidRPr="006441BD">
        <w:rPr>
          <w:rFonts w:ascii="Times New Roman" w:hAnsi="Times New Roman" w:cs="Times New Roman"/>
          <w:sz w:val="28"/>
          <w:szCs w:val="28"/>
        </w:rPr>
        <w:t xml:space="preserve"> </w:t>
      </w:r>
      <w:r w:rsidR="001B2166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ухилення від військової служби</w:t>
      </w:r>
      <w:r w:rsidR="00D85DBD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DB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2166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51,</w:t>
      </w:r>
      <w:r w:rsidR="001B2166" w:rsidRPr="006441BD">
        <w:rPr>
          <w:rFonts w:ascii="Times New Roman" w:hAnsi="Times New Roman" w:cs="Times New Roman"/>
          <w:sz w:val="28"/>
          <w:szCs w:val="28"/>
        </w:rPr>
        <w:t xml:space="preserve"> </w:t>
      </w:r>
      <w:r w:rsidR="001B2166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 миру, безпеки людства та міжнародного правопорядку</w:t>
      </w:r>
      <w:r w:rsidR="00D85DBD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DBD" w:rsidRPr="006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2166" w:rsidRPr="006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14:paraId="44FC06E9" w14:textId="6113EF18" w:rsidR="002A7921" w:rsidRDefault="00F6393A" w:rsidP="00644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hAnsi="Times New Roman" w:cs="Times New Roman"/>
          <w:sz w:val="28"/>
          <w:szCs w:val="28"/>
        </w:rPr>
        <w:t xml:space="preserve">Проведений огляд є підставою для висновку про те, що </w:t>
      </w:r>
      <w:r w:rsidR="00BD7839" w:rsidRPr="006441BD">
        <w:rPr>
          <w:rFonts w:ascii="Times New Roman" w:hAnsi="Times New Roman" w:cs="Times New Roman"/>
          <w:sz w:val="28"/>
          <w:szCs w:val="28"/>
        </w:rPr>
        <w:t xml:space="preserve">місцеві </w:t>
      </w:r>
      <w:r w:rsidR="00A737FE" w:rsidRPr="006441BD">
        <w:rPr>
          <w:rFonts w:ascii="Times New Roman" w:hAnsi="Times New Roman" w:cs="Times New Roman"/>
          <w:sz w:val="28"/>
          <w:szCs w:val="28"/>
        </w:rPr>
        <w:t xml:space="preserve">загальні </w:t>
      </w:r>
      <w:r w:rsidRPr="006441BD">
        <w:rPr>
          <w:rFonts w:ascii="Times New Roman" w:hAnsi="Times New Roman" w:cs="Times New Roman"/>
          <w:sz w:val="28"/>
          <w:szCs w:val="28"/>
        </w:rPr>
        <w:t>суди в цілому забезпечили правильне і своєчасне вирішення переважної більшості судових справ.</w:t>
      </w:r>
      <w:r w:rsidR="00BD7839" w:rsidRPr="006441BD">
        <w:rPr>
          <w:rFonts w:ascii="Times New Roman" w:hAnsi="Times New Roman" w:cs="Times New Roman"/>
          <w:sz w:val="28"/>
          <w:szCs w:val="28"/>
        </w:rPr>
        <w:t xml:space="preserve"> </w:t>
      </w:r>
      <w:r w:rsidR="002A7921" w:rsidRPr="006441BD">
        <w:rPr>
          <w:rFonts w:ascii="Times New Roman" w:hAnsi="Times New Roman" w:cs="Times New Roman"/>
          <w:sz w:val="28"/>
          <w:szCs w:val="28"/>
        </w:rPr>
        <w:t>Відсоток розгляду судових справ</w:t>
      </w:r>
      <w:bookmarkStart w:id="0" w:name="_GoBack"/>
      <w:bookmarkEnd w:id="0"/>
      <w:r w:rsidR="002A7921" w:rsidRPr="006441BD">
        <w:rPr>
          <w:rFonts w:ascii="Times New Roman" w:hAnsi="Times New Roman" w:cs="Times New Roman"/>
          <w:sz w:val="28"/>
          <w:szCs w:val="28"/>
        </w:rPr>
        <w:t xml:space="preserve"> - </w:t>
      </w:r>
      <w:r w:rsidR="008D3D46" w:rsidRPr="006441BD">
        <w:rPr>
          <w:rFonts w:ascii="Times New Roman" w:hAnsi="Times New Roman" w:cs="Times New Roman"/>
          <w:sz w:val="28"/>
          <w:szCs w:val="28"/>
        </w:rPr>
        <w:t>102</w:t>
      </w:r>
      <w:r w:rsidR="002A7921" w:rsidRPr="006441BD">
        <w:rPr>
          <w:rFonts w:ascii="Times New Roman" w:hAnsi="Times New Roman" w:cs="Times New Roman"/>
          <w:sz w:val="28"/>
          <w:szCs w:val="28"/>
        </w:rPr>
        <w:t>,</w:t>
      </w:r>
      <w:r w:rsidR="008D3D46" w:rsidRPr="006441BD">
        <w:rPr>
          <w:rFonts w:ascii="Times New Roman" w:hAnsi="Times New Roman" w:cs="Times New Roman"/>
          <w:sz w:val="28"/>
          <w:szCs w:val="28"/>
        </w:rPr>
        <w:t>6</w:t>
      </w:r>
      <w:r w:rsidR="002A7921" w:rsidRPr="006441BD">
        <w:rPr>
          <w:rFonts w:ascii="Times New Roman" w:hAnsi="Times New Roman" w:cs="Times New Roman"/>
          <w:sz w:val="28"/>
          <w:szCs w:val="28"/>
        </w:rPr>
        <w:t xml:space="preserve"> %. Наведені дані свідчать про позитивні тенденції звітного періоду. </w:t>
      </w:r>
    </w:p>
    <w:p w14:paraId="16B78871" w14:textId="19FA0FC6" w:rsidR="00CB05E1" w:rsidRDefault="00CB05E1" w:rsidP="00644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BE5AA" w14:textId="79E67037" w:rsidR="00CB05E1" w:rsidRDefault="00CB05E1" w:rsidP="00644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BD66F" w14:textId="77777777" w:rsidR="00CB05E1" w:rsidRDefault="00CB05E1" w:rsidP="00644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E68389" w14:textId="5750FBFB" w:rsidR="00CB05E1" w:rsidRPr="006441BD" w:rsidRDefault="00CB05E1" w:rsidP="00644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 4. Результативні показники розгляду справ</w:t>
      </w:r>
    </w:p>
    <w:tbl>
      <w:tblPr>
        <w:tblW w:w="10587" w:type="dxa"/>
        <w:tblInd w:w="-5" w:type="dxa"/>
        <w:tblLook w:val="04A0" w:firstRow="1" w:lastRow="0" w:firstColumn="1" w:lastColumn="0" w:noHBand="0" w:noVBand="1"/>
      </w:tblPr>
      <w:tblGrid>
        <w:gridCol w:w="719"/>
        <w:gridCol w:w="6061"/>
        <w:gridCol w:w="1205"/>
        <w:gridCol w:w="1555"/>
        <w:gridCol w:w="1047"/>
      </w:tblGrid>
      <w:tr w:rsidR="00F002A7" w:rsidRPr="006441BD" w14:paraId="1B8AAD86" w14:textId="77777777" w:rsidTr="00CB05E1">
        <w:trPr>
          <w:trHeight w:val="51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009DE" w14:textId="77777777" w:rsidR="00F002A7" w:rsidRPr="006441BD" w:rsidRDefault="00F002A7" w:rsidP="00CB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Найменування показника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4331" w14:textId="77777777" w:rsidR="00F002A7" w:rsidRPr="006441BD" w:rsidRDefault="00F002A7" w:rsidP="00CB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рядка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9BD3" w14:textId="77777777" w:rsidR="00F002A7" w:rsidRPr="006441BD" w:rsidRDefault="00F002A7" w:rsidP="00CB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AC37" w14:textId="77777777" w:rsidR="00F002A7" w:rsidRPr="006441BD" w:rsidRDefault="00F002A7" w:rsidP="00CB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002A7" w:rsidRPr="006441BD" w14:paraId="6CF4AB53" w14:textId="77777777" w:rsidTr="00CB05E1">
        <w:trPr>
          <w:trHeight w:val="555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A49A" w14:textId="77777777" w:rsidR="00F002A7" w:rsidRPr="006441BD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Відсоток справ та матеріалів, загальний термін проходження яких триває понад один рік, 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8740" w14:textId="77777777" w:rsidR="00F002A7" w:rsidRPr="006441BD" w:rsidRDefault="00F002A7" w:rsidP="00CB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A440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0AB5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A7" w:rsidRPr="006441BD" w14:paraId="517B0DD6" w14:textId="77777777" w:rsidTr="00CB05E1">
        <w:trPr>
          <w:trHeight w:val="36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5D8CBC" w14:textId="77777777" w:rsidR="00F002A7" w:rsidRPr="006441BD" w:rsidRDefault="00F002A7" w:rsidP="00CB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тому числі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CC41" w14:textId="77777777" w:rsidR="00F002A7" w:rsidRPr="006441BD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кримінального  судочинства, 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D027" w14:textId="77777777" w:rsidR="00F002A7" w:rsidRPr="006441BD" w:rsidRDefault="00F002A7" w:rsidP="00CB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34D1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2F2A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A7" w:rsidRPr="006441BD" w14:paraId="2901CBC7" w14:textId="77777777" w:rsidTr="00CB05E1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EB1B1" w14:textId="77777777" w:rsidR="00F002A7" w:rsidRPr="006441BD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C32C" w14:textId="77777777" w:rsidR="00F002A7" w:rsidRPr="006441BD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адміністративного судочинства, 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29CD" w14:textId="77777777" w:rsidR="00F002A7" w:rsidRPr="006441BD" w:rsidRDefault="00F002A7" w:rsidP="00CB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8DDE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42CF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A7" w:rsidRPr="006441BD" w14:paraId="4E327EE2" w14:textId="77777777" w:rsidTr="00CB05E1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35D32" w14:textId="77777777" w:rsidR="00F002A7" w:rsidRPr="006441BD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2114" w14:textId="77777777" w:rsidR="00F002A7" w:rsidRPr="006441BD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цивільного  судочинства, 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D4E8" w14:textId="77777777" w:rsidR="00F002A7" w:rsidRPr="006441BD" w:rsidRDefault="00F002A7" w:rsidP="00CB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9D8C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F8D3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A7" w:rsidRPr="006441BD" w14:paraId="20041CB0" w14:textId="77777777" w:rsidTr="00CB05E1">
        <w:trPr>
          <w:trHeight w:val="36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A81D7" w14:textId="77777777" w:rsidR="00F002A7" w:rsidRPr="006441BD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D180" w14:textId="77777777" w:rsidR="00F002A7" w:rsidRPr="006441BD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адміністративні правопорушення, 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DE6A" w14:textId="77777777" w:rsidR="00F002A7" w:rsidRPr="006441BD" w:rsidRDefault="00F002A7" w:rsidP="00CB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ADA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4EF0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A7" w:rsidRPr="006441BD" w14:paraId="547F2978" w14:textId="77777777" w:rsidTr="00CB05E1">
        <w:trPr>
          <w:trHeight w:val="36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5B10" w14:textId="77777777" w:rsidR="00F002A7" w:rsidRPr="006441BD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Відсоток розгляду справ, 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4775" w14:textId="77777777" w:rsidR="00F002A7" w:rsidRPr="006441BD" w:rsidRDefault="00F002A7" w:rsidP="00CB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3AC1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E37D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A7" w:rsidRPr="006441BD" w14:paraId="434339C4" w14:textId="77777777" w:rsidTr="00CB05E1">
        <w:trPr>
          <w:trHeight w:val="36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D27C" w14:textId="77777777" w:rsidR="00F002A7" w:rsidRPr="006441BD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Середня кількість розглянутих справ на одного суддю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BC7B" w14:textId="77777777" w:rsidR="00F002A7" w:rsidRPr="006441BD" w:rsidRDefault="00F002A7" w:rsidP="00CB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A7ED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28DA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A7" w:rsidRPr="006441BD" w14:paraId="5B99A97B" w14:textId="77777777" w:rsidTr="00CB05E1">
        <w:trPr>
          <w:trHeight w:val="51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F6BD" w14:textId="77777777" w:rsidR="00F002A7" w:rsidRPr="006441BD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5EAB" w14:textId="77777777" w:rsidR="00F002A7" w:rsidRPr="006441BD" w:rsidRDefault="00F002A7" w:rsidP="00CB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8DD3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D155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A7" w:rsidRPr="006441BD" w14:paraId="363A9690" w14:textId="77777777" w:rsidTr="00CB05E1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7BA69" w14:textId="77777777" w:rsidR="00F002A7" w:rsidRPr="006441BD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Середня тривалість розгляду справи (днів)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291C" w14:textId="77777777" w:rsidR="00F002A7" w:rsidRPr="006441BD" w:rsidRDefault="00F002A7" w:rsidP="00CB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DE48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3218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A7" w:rsidRPr="006441BD" w14:paraId="368CCD17" w14:textId="77777777" w:rsidTr="00CB05E1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F5F9" w14:textId="77777777" w:rsidR="00F002A7" w:rsidRPr="006441BD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кримінального  судочинства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F4E6" w14:textId="77777777" w:rsidR="00F002A7" w:rsidRPr="006441BD" w:rsidRDefault="00F002A7" w:rsidP="00CB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F22C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6664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A7" w:rsidRPr="006441BD" w14:paraId="3A8C45A1" w14:textId="77777777" w:rsidTr="00CB05E1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BF20" w14:textId="77777777" w:rsidR="00F002A7" w:rsidRPr="00CB05E1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 кримінального провадження (з гр.4 ряд.1 розділу 1)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0B50" w14:textId="77777777" w:rsidR="00F002A7" w:rsidRPr="006441BD" w:rsidRDefault="00F002A7" w:rsidP="00CB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C9FE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C528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A7" w:rsidRPr="006441BD" w14:paraId="7A4C8992" w14:textId="77777777" w:rsidTr="00CB05E1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810E0" w14:textId="77777777" w:rsidR="00F002A7" w:rsidRPr="00CB05E1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 досудового розслідування (слідчі судді) (з гр.4 ряд.2 розділу 1)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349E" w14:textId="77777777" w:rsidR="00F002A7" w:rsidRPr="006441BD" w:rsidRDefault="00F002A7" w:rsidP="00CB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8A08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3FD5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A7" w:rsidRPr="006441BD" w14:paraId="47D83C51" w14:textId="77777777" w:rsidTr="00CB05E1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92E8" w14:textId="77777777" w:rsidR="00F002A7" w:rsidRPr="006441BD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адміністративного судочинства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CBA2" w14:textId="77777777" w:rsidR="00F002A7" w:rsidRPr="006441BD" w:rsidRDefault="00F002A7" w:rsidP="00CB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01A3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8064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A7" w:rsidRPr="006441BD" w14:paraId="2A5803F7" w14:textId="77777777" w:rsidTr="00CB05E1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CDE9" w14:textId="77777777" w:rsidR="00F002A7" w:rsidRPr="006441BD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цивільного  судочинства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3F5B" w14:textId="77777777" w:rsidR="00F002A7" w:rsidRPr="006441BD" w:rsidRDefault="00F002A7" w:rsidP="00CB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6C7C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B693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A7" w:rsidRPr="006441BD" w14:paraId="3B934083" w14:textId="77777777" w:rsidTr="00CB05E1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D70D" w14:textId="77777777" w:rsidR="00F002A7" w:rsidRPr="006441BD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адміністративні правопорушення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C9AA" w14:textId="77777777" w:rsidR="00F002A7" w:rsidRPr="006441BD" w:rsidRDefault="00F002A7" w:rsidP="00CB0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6497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2A291" w14:textId="77777777" w:rsidR="00F002A7" w:rsidRPr="006441BD" w:rsidRDefault="00F002A7" w:rsidP="00CB0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2A7" w:rsidRPr="006441BD" w14:paraId="17465F0E" w14:textId="77777777" w:rsidTr="00CB05E1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EAA89" w14:textId="77777777" w:rsidR="00F002A7" w:rsidRPr="006441BD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109C3" w14:textId="77777777" w:rsidR="00F002A7" w:rsidRPr="006441BD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35F6" w14:textId="77777777" w:rsidR="00F002A7" w:rsidRPr="006441BD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FA15" w14:textId="77777777" w:rsidR="00F002A7" w:rsidRPr="006441BD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CEB1" w14:textId="77777777" w:rsidR="00F002A7" w:rsidRPr="006441BD" w:rsidRDefault="00F002A7" w:rsidP="00CB05E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4EB1FB6" w14:textId="77777777" w:rsidR="00F002A7" w:rsidRPr="006441BD" w:rsidRDefault="00F002A7" w:rsidP="00644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02A7" w:rsidRPr="006441BD" w:rsidSect="00E22C32">
      <w:footerReference w:type="default" r:id="rId17"/>
      <w:pgSz w:w="11906" w:h="16838" w:code="9"/>
      <w:pgMar w:top="851" w:right="851" w:bottom="510" w:left="1701" w:header="709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25B2A" w14:textId="77777777" w:rsidR="003C706C" w:rsidRDefault="003C706C" w:rsidP="00E22C32">
      <w:pPr>
        <w:spacing w:after="0" w:line="240" w:lineRule="auto"/>
      </w:pPr>
      <w:r>
        <w:separator/>
      </w:r>
    </w:p>
  </w:endnote>
  <w:endnote w:type="continuationSeparator" w:id="0">
    <w:p w14:paraId="445F8532" w14:textId="77777777" w:rsidR="003C706C" w:rsidRDefault="003C706C" w:rsidP="00E2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462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943778E" w14:textId="6FDE0E8D" w:rsidR="00E22C32" w:rsidRPr="00E22C32" w:rsidRDefault="00E22C3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2C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2C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2C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5D77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E22C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064CEF0" w14:textId="77777777" w:rsidR="00E22C32" w:rsidRDefault="00E22C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9B4FB" w14:textId="77777777" w:rsidR="003C706C" w:rsidRDefault="003C706C" w:rsidP="00E22C32">
      <w:pPr>
        <w:spacing w:after="0" w:line="240" w:lineRule="auto"/>
      </w:pPr>
      <w:r>
        <w:separator/>
      </w:r>
    </w:p>
  </w:footnote>
  <w:footnote w:type="continuationSeparator" w:id="0">
    <w:p w14:paraId="1B8BAA4A" w14:textId="77777777" w:rsidR="003C706C" w:rsidRDefault="003C706C" w:rsidP="00E2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0FF"/>
    <w:multiLevelType w:val="hybridMultilevel"/>
    <w:tmpl w:val="04BCF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774F"/>
    <w:multiLevelType w:val="hybridMultilevel"/>
    <w:tmpl w:val="12C2DD8E"/>
    <w:lvl w:ilvl="0" w:tplc="483EEB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01687"/>
    <w:multiLevelType w:val="hybridMultilevel"/>
    <w:tmpl w:val="7BFCF4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91C68"/>
    <w:multiLevelType w:val="hybridMultilevel"/>
    <w:tmpl w:val="04BCF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C727C"/>
    <w:multiLevelType w:val="hybridMultilevel"/>
    <w:tmpl w:val="F7BC7672"/>
    <w:lvl w:ilvl="0" w:tplc="A4829628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5D0B26"/>
    <w:multiLevelType w:val="hybridMultilevel"/>
    <w:tmpl w:val="AC9C7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B5"/>
    <w:rsid w:val="00002DED"/>
    <w:rsid w:val="00017015"/>
    <w:rsid w:val="0002061C"/>
    <w:rsid w:val="00026560"/>
    <w:rsid w:val="00027AEC"/>
    <w:rsid w:val="00034DE1"/>
    <w:rsid w:val="00036E51"/>
    <w:rsid w:val="000448B8"/>
    <w:rsid w:val="0006185E"/>
    <w:rsid w:val="000629DA"/>
    <w:rsid w:val="00063767"/>
    <w:rsid w:val="000726F9"/>
    <w:rsid w:val="00074361"/>
    <w:rsid w:val="000857CA"/>
    <w:rsid w:val="000944D2"/>
    <w:rsid w:val="00097047"/>
    <w:rsid w:val="000A2C46"/>
    <w:rsid w:val="000A4E5D"/>
    <w:rsid w:val="000B3B37"/>
    <w:rsid w:val="000B6D2A"/>
    <w:rsid w:val="000D1E7C"/>
    <w:rsid w:val="000E1869"/>
    <w:rsid w:val="000E251B"/>
    <w:rsid w:val="000E7C4E"/>
    <w:rsid w:val="000F0FC7"/>
    <w:rsid w:val="000F4D1A"/>
    <w:rsid w:val="000F52D0"/>
    <w:rsid w:val="000F5E5B"/>
    <w:rsid w:val="00100559"/>
    <w:rsid w:val="001071D1"/>
    <w:rsid w:val="00107E59"/>
    <w:rsid w:val="00111B1C"/>
    <w:rsid w:val="0012100B"/>
    <w:rsid w:val="0013025E"/>
    <w:rsid w:val="00134912"/>
    <w:rsid w:val="00135DE6"/>
    <w:rsid w:val="00137349"/>
    <w:rsid w:val="00141DF0"/>
    <w:rsid w:val="001429FD"/>
    <w:rsid w:val="001450CC"/>
    <w:rsid w:val="001460F8"/>
    <w:rsid w:val="00150E86"/>
    <w:rsid w:val="001555A7"/>
    <w:rsid w:val="00162662"/>
    <w:rsid w:val="00170129"/>
    <w:rsid w:val="0017026E"/>
    <w:rsid w:val="001702F7"/>
    <w:rsid w:val="00173093"/>
    <w:rsid w:val="00173B37"/>
    <w:rsid w:val="001833CC"/>
    <w:rsid w:val="001839D0"/>
    <w:rsid w:val="0018704C"/>
    <w:rsid w:val="00190696"/>
    <w:rsid w:val="001A622C"/>
    <w:rsid w:val="001A6C35"/>
    <w:rsid w:val="001A710D"/>
    <w:rsid w:val="001B1BBF"/>
    <w:rsid w:val="001B2166"/>
    <w:rsid w:val="001B2C9F"/>
    <w:rsid w:val="001B6FE7"/>
    <w:rsid w:val="001C3D20"/>
    <w:rsid w:val="001D312F"/>
    <w:rsid w:val="001E3949"/>
    <w:rsid w:val="002128A0"/>
    <w:rsid w:val="0021462B"/>
    <w:rsid w:val="00216C6F"/>
    <w:rsid w:val="002222ED"/>
    <w:rsid w:val="0023116F"/>
    <w:rsid w:val="00231C22"/>
    <w:rsid w:val="002368D1"/>
    <w:rsid w:val="00263017"/>
    <w:rsid w:val="0028149C"/>
    <w:rsid w:val="002828BB"/>
    <w:rsid w:val="002852C6"/>
    <w:rsid w:val="002A0566"/>
    <w:rsid w:val="002A53F3"/>
    <w:rsid w:val="002A7921"/>
    <w:rsid w:val="002B4C05"/>
    <w:rsid w:val="002B6D84"/>
    <w:rsid w:val="002B7977"/>
    <w:rsid w:val="002C13AD"/>
    <w:rsid w:val="002D327E"/>
    <w:rsid w:val="002E70DD"/>
    <w:rsid w:val="002F38F8"/>
    <w:rsid w:val="002F3EA2"/>
    <w:rsid w:val="002F40E6"/>
    <w:rsid w:val="002F4A5C"/>
    <w:rsid w:val="00310C2C"/>
    <w:rsid w:val="0031330F"/>
    <w:rsid w:val="003139A1"/>
    <w:rsid w:val="0033755D"/>
    <w:rsid w:val="0033777C"/>
    <w:rsid w:val="003457CB"/>
    <w:rsid w:val="003461D5"/>
    <w:rsid w:val="00361C5F"/>
    <w:rsid w:val="00391F87"/>
    <w:rsid w:val="0039371E"/>
    <w:rsid w:val="00393B33"/>
    <w:rsid w:val="00396F6F"/>
    <w:rsid w:val="003A51F5"/>
    <w:rsid w:val="003B1801"/>
    <w:rsid w:val="003C706C"/>
    <w:rsid w:val="003E15BF"/>
    <w:rsid w:val="003E2780"/>
    <w:rsid w:val="003E5577"/>
    <w:rsid w:val="003E7623"/>
    <w:rsid w:val="003F31D9"/>
    <w:rsid w:val="003F42F0"/>
    <w:rsid w:val="0040720A"/>
    <w:rsid w:val="0042359A"/>
    <w:rsid w:val="00427F4C"/>
    <w:rsid w:val="004313D6"/>
    <w:rsid w:val="004445EC"/>
    <w:rsid w:val="00444B67"/>
    <w:rsid w:val="00444D8D"/>
    <w:rsid w:val="004454C8"/>
    <w:rsid w:val="004472BD"/>
    <w:rsid w:val="00486823"/>
    <w:rsid w:val="0049644B"/>
    <w:rsid w:val="0049765E"/>
    <w:rsid w:val="004A2AC8"/>
    <w:rsid w:val="004A3234"/>
    <w:rsid w:val="004A46FA"/>
    <w:rsid w:val="004C4E39"/>
    <w:rsid w:val="004C57BB"/>
    <w:rsid w:val="004C5D77"/>
    <w:rsid w:val="004D17CD"/>
    <w:rsid w:val="004D5E46"/>
    <w:rsid w:val="004D6C8A"/>
    <w:rsid w:val="004E2493"/>
    <w:rsid w:val="004F0E6E"/>
    <w:rsid w:val="004F7876"/>
    <w:rsid w:val="00500977"/>
    <w:rsid w:val="005069E0"/>
    <w:rsid w:val="00520258"/>
    <w:rsid w:val="00531D09"/>
    <w:rsid w:val="0053251B"/>
    <w:rsid w:val="00540612"/>
    <w:rsid w:val="00546614"/>
    <w:rsid w:val="00553CE8"/>
    <w:rsid w:val="005548C5"/>
    <w:rsid w:val="005620F2"/>
    <w:rsid w:val="00563A94"/>
    <w:rsid w:val="0056410E"/>
    <w:rsid w:val="005734FA"/>
    <w:rsid w:val="00584E3B"/>
    <w:rsid w:val="005867B7"/>
    <w:rsid w:val="00592182"/>
    <w:rsid w:val="005936F2"/>
    <w:rsid w:val="005A08C5"/>
    <w:rsid w:val="005A6760"/>
    <w:rsid w:val="005A7851"/>
    <w:rsid w:val="005B3C7C"/>
    <w:rsid w:val="005C213D"/>
    <w:rsid w:val="005D2728"/>
    <w:rsid w:val="005D3B13"/>
    <w:rsid w:val="005D60B3"/>
    <w:rsid w:val="005E176A"/>
    <w:rsid w:val="005E3386"/>
    <w:rsid w:val="005E5838"/>
    <w:rsid w:val="005E7811"/>
    <w:rsid w:val="005F1D87"/>
    <w:rsid w:val="005F4F7C"/>
    <w:rsid w:val="00601E0F"/>
    <w:rsid w:val="00613D33"/>
    <w:rsid w:val="00614621"/>
    <w:rsid w:val="006214E4"/>
    <w:rsid w:val="0063256D"/>
    <w:rsid w:val="0063574D"/>
    <w:rsid w:val="00643FEF"/>
    <w:rsid w:val="006441BD"/>
    <w:rsid w:val="006444BA"/>
    <w:rsid w:val="00662AD2"/>
    <w:rsid w:val="00673567"/>
    <w:rsid w:val="00692726"/>
    <w:rsid w:val="00697231"/>
    <w:rsid w:val="006A2CE5"/>
    <w:rsid w:val="006A7EB8"/>
    <w:rsid w:val="006B2C58"/>
    <w:rsid w:val="006B4750"/>
    <w:rsid w:val="006C4054"/>
    <w:rsid w:val="006C7845"/>
    <w:rsid w:val="006D0DEF"/>
    <w:rsid w:val="006E7EA3"/>
    <w:rsid w:val="006E7EC0"/>
    <w:rsid w:val="007107F6"/>
    <w:rsid w:val="00713A40"/>
    <w:rsid w:val="00716038"/>
    <w:rsid w:val="00726934"/>
    <w:rsid w:val="00743BBB"/>
    <w:rsid w:val="00745311"/>
    <w:rsid w:val="0075212F"/>
    <w:rsid w:val="00761EF0"/>
    <w:rsid w:val="00780611"/>
    <w:rsid w:val="00790B1A"/>
    <w:rsid w:val="00792702"/>
    <w:rsid w:val="007A1FB7"/>
    <w:rsid w:val="007A675C"/>
    <w:rsid w:val="007A7E0E"/>
    <w:rsid w:val="007D5311"/>
    <w:rsid w:val="007E03E6"/>
    <w:rsid w:val="007F56F7"/>
    <w:rsid w:val="00800190"/>
    <w:rsid w:val="00806EA2"/>
    <w:rsid w:val="00813FC9"/>
    <w:rsid w:val="00824090"/>
    <w:rsid w:val="00824524"/>
    <w:rsid w:val="00827DA0"/>
    <w:rsid w:val="008347A1"/>
    <w:rsid w:val="00836EE5"/>
    <w:rsid w:val="00846B7C"/>
    <w:rsid w:val="00851FD5"/>
    <w:rsid w:val="00852336"/>
    <w:rsid w:val="00867478"/>
    <w:rsid w:val="00867E57"/>
    <w:rsid w:val="00874016"/>
    <w:rsid w:val="00877977"/>
    <w:rsid w:val="00884131"/>
    <w:rsid w:val="00894EB6"/>
    <w:rsid w:val="00897640"/>
    <w:rsid w:val="008A59AD"/>
    <w:rsid w:val="008B77D4"/>
    <w:rsid w:val="008C0AA7"/>
    <w:rsid w:val="008D3D46"/>
    <w:rsid w:val="008E4826"/>
    <w:rsid w:val="008F6731"/>
    <w:rsid w:val="008F6AD6"/>
    <w:rsid w:val="009001B0"/>
    <w:rsid w:val="00912707"/>
    <w:rsid w:val="0091362E"/>
    <w:rsid w:val="00917F0F"/>
    <w:rsid w:val="009233D3"/>
    <w:rsid w:val="009266E5"/>
    <w:rsid w:val="00931B07"/>
    <w:rsid w:val="00932651"/>
    <w:rsid w:val="00934578"/>
    <w:rsid w:val="009358AC"/>
    <w:rsid w:val="009516D6"/>
    <w:rsid w:val="009516DC"/>
    <w:rsid w:val="00955445"/>
    <w:rsid w:val="00955AED"/>
    <w:rsid w:val="00956735"/>
    <w:rsid w:val="0096183C"/>
    <w:rsid w:val="00961AD7"/>
    <w:rsid w:val="00964402"/>
    <w:rsid w:val="0096475C"/>
    <w:rsid w:val="00972F02"/>
    <w:rsid w:val="0098315E"/>
    <w:rsid w:val="009922D6"/>
    <w:rsid w:val="00997C1A"/>
    <w:rsid w:val="009A158F"/>
    <w:rsid w:val="009A1A97"/>
    <w:rsid w:val="009A61AB"/>
    <w:rsid w:val="009B5F97"/>
    <w:rsid w:val="009C303E"/>
    <w:rsid w:val="009C33A4"/>
    <w:rsid w:val="009C501C"/>
    <w:rsid w:val="009C7A9C"/>
    <w:rsid w:val="009D07C2"/>
    <w:rsid w:val="009D1E3C"/>
    <w:rsid w:val="009D4B1B"/>
    <w:rsid w:val="009D6E88"/>
    <w:rsid w:val="009E0FB4"/>
    <w:rsid w:val="009E2467"/>
    <w:rsid w:val="009E2DB1"/>
    <w:rsid w:val="009F0C53"/>
    <w:rsid w:val="009F2AEE"/>
    <w:rsid w:val="009F4631"/>
    <w:rsid w:val="00A03217"/>
    <w:rsid w:val="00A1761D"/>
    <w:rsid w:val="00A21DD1"/>
    <w:rsid w:val="00A261B7"/>
    <w:rsid w:val="00A27EF1"/>
    <w:rsid w:val="00A32C20"/>
    <w:rsid w:val="00A417E5"/>
    <w:rsid w:val="00A425E1"/>
    <w:rsid w:val="00A5507B"/>
    <w:rsid w:val="00A57B2D"/>
    <w:rsid w:val="00A71484"/>
    <w:rsid w:val="00A737FE"/>
    <w:rsid w:val="00A8020F"/>
    <w:rsid w:val="00A836B2"/>
    <w:rsid w:val="00A861D1"/>
    <w:rsid w:val="00A86265"/>
    <w:rsid w:val="00A95306"/>
    <w:rsid w:val="00AB1987"/>
    <w:rsid w:val="00AB20C7"/>
    <w:rsid w:val="00AB3D3C"/>
    <w:rsid w:val="00AC10B8"/>
    <w:rsid w:val="00AD1D17"/>
    <w:rsid w:val="00AD76DA"/>
    <w:rsid w:val="00AF2187"/>
    <w:rsid w:val="00AF2F62"/>
    <w:rsid w:val="00AF3D02"/>
    <w:rsid w:val="00AF4387"/>
    <w:rsid w:val="00B0115A"/>
    <w:rsid w:val="00B04009"/>
    <w:rsid w:val="00B11626"/>
    <w:rsid w:val="00B24CE2"/>
    <w:rsid w:val="00B26BE7"/>
    <w:rsid w:val="00B26F19"/>
    <w:rsid w:val="00B32FA2"/>
    <w:rsid w:val="00B37F41"/>
    <w:rsid w:val="00B42AD2"/>
    <w:rsid w:val="00B44293"/>
    <w:rsid w:val="00B47096"/>
    <w:rsid w:val="00B52A84"/>
    <w:rsid w:val="00B53F24"/>
    <w:rsid w:val="00B57DE9"/>
    <w:rsid w:val="00B84507"/>
    <w:rsid w:val="00B94E6B"/>
    <w:rsid w:val="00BA0105"/>
    <w:rsid w:val="00BA37AE"/>
    <w:rsid w:val="00BA6C83"/>
    <w:rsid w:val="00BB181A"/>
    <w:rsid w:val="00BC1E75"/>
    <w:rsid w:val="00BC296E"/>
    <w:rsid w:val="00BC6496"/>
    <w:rsid w:val="00BD7839"/>
    <w:rsid w:val="00BF0A94"/>
    <w:rsid w:val="00BF6FB8"/>
    <w:rsid w:val="00C0249C"/>
    <w:rsid w:val="00C11CA5"/>
    <w:rsid w:val="00C130C3"/>
    <w:rsid w:val="00C200C0"/>
    <w:rsid w:val="00C23279"/>
    <w:rsid w:val="00C26FB6"/>
    <w:rsid w:val="00C30343"/>
    <w:rsid w:val="00C36A57"/>
    <w:rsid w:val="00C4528D"/>
    <w:rsid w:val="00C53012"/>
    <w:rsid w:val="00C563FD"/>
    <w:rsid w:val="00C6776C"/>
    <w:rsid w:val="00C77EC6"/>
    <w:rsid w:val="00C830CA"/>
    <w:rsid w:val="00CA3112"/>
    <w:rsid w:val="00CB05E1"/>
    <w:rsid w:val="00CB58C3"/>
    <w:rsid w:val="00CC2A71"/>
    <w:rsid w:val="00CD1BEF"/>
    <w:rsid w:val="00CF1259"/>
    <w:rsid w:val="00CF6BC5"/>
    <w:rsid w:val="00D006A1"/>
    <w:rsid w:val="00D05DA9"/>
    <w:rsid w:val="00D16495"/>
    <w:rsid w:val="00D269A5"/>
    <w:rsid w:val="00D36786"/>
    <w:rsid w:val="00D42DB4"/>
    <w:rsid w:val="00D46D41"/>
    <w:rsid w:val="00D5545C"/>
    <w:rsid w:val="00D559E8"/>
    <w:rsid w:val="00D73ACE"/>
    <w:rsid w:val="00D8140A"/>
    <w:rsid w:val="00D85DBD"/>
    <w:rsid w:val="00D91C4E"/>
    <w:rsid w:val="00DA3CD5"/>
    <w:rsid w:val="00DA473B"/>
    <w:rsid w:val="00DB58F6"/>
    <w:rsid w:val="00DB66B5"/>
    <w:rsid w:val="00DC5E25"/>
    <w:rsid w:val="00DD5BC0"/>
    <w:rsid w:val="00DF0B40"/>
    <w:rsid w:val="00DF4162"/>
    <w:rsid w:val="00E050B4"/>
    <w:rsid w:val="00E06CAF"/>
    <w:rsid w:val="00E1457B"/>
    <w:rsid w:val="00E16129"/>
    <w:rsid w:val="00E171F9"/>
    <w:rsid w:val="00E22C32"/>
    <w:rsid w:val="00E23296"/>
    <w:rsid w:val="00E24ACA"/>
    <w:rsid w:val="00E24F07"/>
    <w:rsid w:val="00E31269"/>
    <w:rsid w:val="00E330F6"/>
    <w:rsid w:val="00E37FD7"/>
    <w:rsid w:val="00E44345"/>
    <w:rsid w:val="00E46E34"/>
    <w:rsid w:val="00E604A6"/>
    <w:rsid w:val="00E80171"/>
    <w:rsid w:val="00E83C2A"/>
    <w:rsid w:val="00E865ED"/>
    <w:rsid w:val="00E91B9C"/>
    <w:rsid w:val="00E95BAC"/>
    <w:rsid w:val="00EA07B9"/>
    <w:rsid w:val="00EA0F31"/>
    <w:rsid w:val="00EC368B"/>
    <w:rsid w:val="00ED4BC3"/>
    <w:rsid w:val="00EE1834"/>
    <w:rsid w:val="00EE5BED"/>
    <w:rsid w:val="00EE614E"/>
    <w:rsid w:val="00EF1548"/>
    <w:rsid w:val="00EF3A5C"/>
    <w:rsid w:val="00EF4B2F"/>
    <w:rsid w:val="00EF554F"/>
    <w:rsid w:val="00EF6EC5"/>
    <w:rsid w:val="00F002A7"/>
    <w:rsid w:val="00F00E31"/>
    <w:rsid w:val="00F021DE"/>
    <w:rsid w:val="00F03027"/>
    <w:rsid w:val="00F03A3C"/>
    <w:rsid w:val="00F117B1"/>
    <w:rsid w:val="00F141F6"/>
    <w:rsid w:val="00F15E30"/>
    <w:rsid w:val="00F20199"/>
    <w:rsid w:val="00F308E1"/>
    <w:rsid w:val="00F32908"/>
    <w:rsid w:val="00F4335F"/>
    <w:rsid w:val="00F460C2"/>
    <w:rsid w:val="00F50CB0"/>
    <w:rsid w:val="00F55BEF"/>
    <w:rsid w:val="00F561C6"/>
    <w:rsid w:val="00F56415"/>
    <w:rsid w:val="00F6393A"/>
    <w:rsid w:val="00F80732"/>
    <w:rsid w:val="00F87658"/>
    <w:rsid w:val="00FA0212"/>
    <w:rsid w:val="00FB30BE"/>
    <w:rsid w:val="00FC1997"/>
    <w:rsid w:val="00FC308A"/>
    <w:rsid w:val="00FD4121"/>
    <w:rsid w:val="00FE17D6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60B1A"/>
  <w15:docId w15:val="{ED053AE5-470A-4C8E-8561-0D89B843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B66B5"/>
  </w:style>
  <w:style w:type="character" w:styleId="a3">
    <w:name w:val="page number"/>
    <w:basedOn w:val="a0"/>
    <w:rsid w:val="00DB66B5"/>
  </w:style>
  <w:style w:type="paragraph" w:styleId="a4">
    <w:name w:val="header"/>
    <w:basedOn w:val="a"/>
    <w:link w:val="a5"/>
    <w:rsid w:val="00DB66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ій колонтитул Знак"/>
    <w:basedOn w:val="a0"/>
    <w:link w:val="a4"/>
    <w:rsid w:val="00DB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B66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у виносці Знак"/>
    <w:basedOn w:val="a0"/>
    <w:link w:val="a6"/>
    <w:semiHidden/>
    <w:rsid w:val="00DB66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069E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22C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22C3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238014068919906E-2"/>
          <c:y val="3.1227854330708665E-2"/>
          <c:w val="0.89780485839916213"/>
          <c:h val="0.6311350402391753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Закрито кримінальних проваджень - 826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14674706049465949"/>
                  <c:y val="0.1019340877092349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3C0-45E0-9135-BA4128FF4DC8}"/>
                </c:ext>
                <c:ext xmlns:c15="http://schemas.microsoft.com/office/drawing/2012/chart" uri="{CE6537A1-D6FC-4f65-9D91-7224C49458BB}">
                  <c15:layout>
                    <c:manualLayout>
                      <c:w val="6.4599392057966692E-2"/>
                      <c:h val="0.1000765501403419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Аркуш1!$B$2</c:f>
              <c:numCache>
                <c:formatCode>General</c:formatCode>
                <c:ptCount val="1"/>
                <c:pt idx="0">
                  <c:v>826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C0-45E0-9135-BA4128FF4DC8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З постановленням вироку - 1900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16650358931304832"/>
                  <c:y val="0.126782951799899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3C0-45E0-9135-BA4128FF4DC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Аркуш1!$C$2</c:f>
              <c:numCache>
                <c:formatCode>General</c:formatCode>
                <c:ptCount val="1"/>
                <c:pt idx="0">
                  <c:v>1900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3C0-45E0-9135-BA4128FF4DC8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Закінчено кримінальних проваджень - 2741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20075695707664976"/>
                  <c:y val="0.1321967287201682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3C0-45E0-9135-BA4128FF4DC8}"/>
                </c:ext>
                <c:ext xmlns:c15="http://schemas.microsoft.com/office/drawing/2012/chart" uri="{CE6537A1-D6FC-4f65-9D91-7224C49458BB}">
                  <c15:layout>
                    <c:manualLayout>
                      <c:w val="0.10715587517852403"/>
                      <c:h val="8.9869860017497791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Аркуш1!$D$2</c:f>
              <c:numCache>
                <c:formatCode>General</c:formatCode>
                <c:ptCount val="1"/>
                <c:pt idx="0">
                  <c:v>2741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3C0-45E0-9135-BA4128FF4DC8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Перебувало кримінальних проваджень -4785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125653787658565"/>
                  <c:y val="3.16717246281714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4785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3C0-45E0-9135-BA4128FF4DC8}"/>
                </c:ext>
                <c:ext xmlns:c15="http://schemas.microsoft.com/office/drawing/2012/chart" uri="{CE6537A1-D6FC-4f65-9D91-7224C49458BB}">
                  <c15:layout>
                    <c:manualLayout>
                      <c:w val="7.3639121898982682E-2"/>
                      <c:h val="0.10517989282980351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Аркуш1!$E$2</c:f>
              <c:numCache>
                <c:formatCode>General</c:formatCode>
                <c:ptCount val="1"/>
                <c:pt idx="0">
                  <c:v>4785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3C0-45E0-9135-BA4128FF4D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721534512"/>
        <c:axId val="721535600"/>
        <c:axId val="721947344"/>
      </c:bar3DChart>
      <c:catAx>
        <c:axId val="7215345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21535600"/>
        <c:crosses val="autoZero"/>
        <c:auto val="1"/>
        <c:lblAlgn val="ctr"/>
        <c:lblOffset val="100"/>
        <c:noMultiLvlLbl val="0"/>
      </c:catAx>
      <c:valAx>
        <c:axId val="7215356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21534512"/>
        <c:crosses val="autoZero"/>
        <c:crossBetween val="between"/>
      </c:valAx>
      <c:serAx>
        <c:axId val="721947344"/>
        <c:scaling>
          <c:orientation val="minMax"/>
        </c:scaling>
        <c:delete val="1"/>
        <c:axPos val="b"/>
        <c:majorTickMark val="out"/>
        <c:minorTickMark val="none"/>
        <c:tickLblPos val="nextTo"/>
        <c:crossAx val="721535600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547056617922724E-3"/>
          <c:y val="0.69725313309346271"/>
          <c:w val="0.99101022484548984"/>
          <c:h val="0.281913403208704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22667960343819E-2"/>
          <c:y val="2.9227740763173846E-2"/>
          <c:w val="0.90437130371366392"/>
          <c:h val="0.5923857887329302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Закрито кримінальних проваджень - 1038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5.3937050413268926E-2"/>
                  <c:y val="-6.7967591007645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6CA-4A92-AE14-5A1DA81B785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1038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CA-4A92-AE14-5A1DA81B7857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З постановленням вироку - 1833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2629861704888268E-2"/>
                  <c:y val="-3.6622541747498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6CA-4A92-AE14-5A1DA81B785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1833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6CA-4A92-AE14-5A1DA81B7857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Закінчено кримінальних проваджень - 2944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8559067879886245E-2"/>
                  <c:y val="-2.4545247061508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6CA-4A92-AE14-5A1DA81B785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2944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6CA-4A92-AE14-5A1DA81B7857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Перебувало кримінальних проваджень - 5151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3513061677663063E-2"/>
                  <c:y val="-1.6926851534862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6CA-4A92-AE14-5A1DA81B785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5151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6CA-4A92-AE14-5A1DA81B78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721529616"/>
        <c:axId val="721538864"/>
        <c:axId val="721950464"/>
      </c:bar3DChart>
      <c:catAx>
        <c:axId val="7215296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21538864"/>
        <c:crosses val="autoZero"/>
        <c:auto val="1"/>
        <c:lblAlgn val="ctr"/>
        <c:lblOffset val="100"/>
        <c:noMultiLvlLbl val="0"/>
      </c:catAx>
      <c:valAx>
        <c:axId val="7215388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21529616"/>
        <c:crosses val="autoZero"/>
        <c:crossBetween val="between"/>
      </c:valAx>
      <c:serAx>
        <c:axId val="721950464"/>
        <c:scaling>
          <c:orientation val="minMax"/>
        </c:scaling>
        <c:delete val="1"/>
        <c:axPos val="b"/>
        <c:majorTickMark val="out"/>
        <c:minorTickMark val="none"/>
        <c:tickLblPos val="nextTo"/>
        <c:crossAx val="721538864"/>
        <c:crosses val="autoZero"/>
      </c:ser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1.2849365393306875E-2"/>
          <c:y val="0.66015995283198292"/>
          <c:w val="0.98062038453724087"/>
          <c:h val="0.331716877781581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647249827000951E-2"/>
          <c:y val="7.3606851775107063E-2"/>
          <c:w val="0.82746053779159046"/>
          <c:h val="0.48413237818956839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spPr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9DB-42F2-B7C2-6D2D5D9095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0"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9DB-42F2-B7C2-6D2D5D9095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0"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9DB-42F2-B7C2-6D2D5D9095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0"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9DB-42F2-B7C2-6D2D5D9095A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0" cap="sq">
                <a:noFill/>
                <a:miter lim="800000"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9DB-42F2-B7C2-6D2D5D9095A4}"/>
              </c:ext>
            </c:extLst>
          </c:dPt>
          <c:dLbls>
            <c:dLbl>
              <c:idx val="0"/>
              <c:layout>
                <c:manualLayout>
                  <c:x val="-2.3151318041766519E-4"/>
                  <c:y val="-0.113298024653566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9DB-42F2-B7C2-6D2D5D9095A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836908973334855E-3"/>
                  <c:y val="6.32816848518777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9DB-42F2-B7C2-6D2D5D9095A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8641922477081672E-3"/>
                  <c:y val="-0.12020026943436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9DB-42F2-B7C2-6D2D5D9095A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0222146144775379E-3"/>
                  <c:y val="-2.276633072402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9DB-42F2-B7C2-6D2D5D9095A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6199456046255088E-2"/>
                  <c:y val="-2.7650575524126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9DB-42F2-B7C2-6D2D5D9095A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Аркуш1!$A$2:$A$6</c:f>
              <c:strCache>
                <c:ptCount val="5"/>
                <c:pt idx="0">
                  <c:v>Злочини проти життя та здоров'я особи - 735</c:v>
                </c:pt>
                <c:pt idx="1">
                  <c:v>Злочини проти власності - 714</c:v>
                </c:pt>
                <c:pt idx="2">
                  <c:v>У сфері наркотичних засобів - 296</c:v>
                </c:pt>
                <c:pt idx="3">
                  <c:v>Громадської безпеки - 111</c:v>
                </c:pt>
                <c:pt idx="4">
                  <c:v>Проти безпеки руху та експлуатації транспорту - 245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735</c:v>
                </c:pt>
                <c:pt idx="1">
                  <c:v>714</c:v>
                </c:pt>
                <c:pt idx="2">
                  <c:v>296</c:v>
                </c:pt>
                <c:pt idx="3">
                  <c:v>111</c:v>
                </c:pt>
                <c:pt idx="4">
                  <c:v>245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9DB-42F2-B7C2-6D2D5D9095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3.344184161067229E-3"/>
          <c:y val="0.5965916760404949"/>
          <c:w val="0.99665581583893259"/>
          <c:h val="0.40340832395950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Не розглянуто на кінець звітнього періоду справ- 2014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569570087016455E-2"/>
                  <c:y val="-4.0396621373485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E20-4D51-B067-BDEC9FDF67D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2014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20-4D51-B067-BDEC9FDF67D9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Не розглянуто понад 6 місяців, 1 рік - 216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7120356103406949E-2"/>
                  <c:y val="-6.1570035915854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075-4802-9854-DB2672CD0F2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216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20-4D51-B067-BDEC9FDF67D9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Понад 1 рік до 2 років - 323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507883173946756E-2"/>
                  <c:y val="-5.5086301872934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E20-4D51-B067-BDEC9FDF67D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323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20-4D51-B067-BDEC9FDF67D9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Понад 2 роки - 546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400275695700869E-2"/>
                  <c:y val="-5.5086301872934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E20-4D51-B067-BDEC9FDF67D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546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20-4D51-B067-BDEC9FDF67D9}"/>
            </c:ext>
          </c:extLst>
        </c:ser>
        <c:ser>
          <c:idx val="4"/>
          <c:order val="4"/>
          <c:tx>
            <c:strRef>
              <c:f>Аркуш1!$F$1</c:f>
              <c:strCache>
                <c:ptCount val="1"/>
                <c:pt idx="0">
                  <c:v>Зупинено кримінальних проваджень - 412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846471956577927E-2"/>
                  <c:y val="-6.610356224752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E20-4D51-B067-BDEC9FDF67D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Аркуш1!$F$2</c:f>
              <c:numCache>
                <c:formatCode>General</c:formatCode>
                <c:ptCount val="1"/>
                <c:pt idx="0">
                  <c:v>412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E20-4D51-B067-BDEC9FDF67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1527440"/>
        <c:axId val="721527984"/>
        <c:axId val="0"/>
      </c:bar3DChart>
      <c:catAx>
        <c:axId val="7215274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21527984"/>
        <c:crosses val="autoZero"/>
        <c:auto val="1"/>
        <c:lblAlgn val="ctr"/>
        <c:lblOffset val="100"/>
        <c:noMultiLvlLbl val="0"/>
      </c:catAx>
      <c:valAx>
        <c:axId val="7215279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2152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8401182998192629E-2"/>
          <c:y val="0.62004378176132235"/>
          <c:w val="0.89270998428567216"/>
          <c:h val="0.379886301446361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233171782444804E-2"/>
          <c:y val="2.3887079261672096E-2"/>
          <c:w val="0.91814754981152391"/>
          <c:h val="0.469636677359774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Передано за підсудністю в інші суди -93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C6-4D65-A55B-C72363075816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Із залишенням заяви без розгляду - 843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843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AC6-4D65-A55B-C72363075816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Закрито проваджень - 310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310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AC6-4D65-A55B-C72363075816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З ухваленням рішення - 9020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9020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AC6-4D65-A55B-C72363075816}"/>
            </c:ext>
          </c:extLst>
        </c:ser>
        <c:ser>
          <c:idx val="4"/>
          <c:order val="4"/>
          <c:tx>
            <c:strRef>
              <c:f>Аркуш1!$F$1</c:f>
              <c:strCache>
                <c:ptCount val="1"/>
                <c:pt idx="0">
                  <c:v>Всього закінчено проваджень - 10275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Аркуш1!$F$2</c:f>
              <c:numCache>
                <c:formatCode>General</c:formatCode>
                <c:ptCount val="1"/>
                <c:pt idx="0">
                  <c:v>10275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AC6-4D65-A55B-C72363075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21529072"/>
        <c:axId val="721530160"/>
      </c:barChart>
      <c:catAx>
        <c:axId val="7215290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21530160"/>
        <c:crosses val="autoZero"/>
        <c:auto val="1"/>
        <c:lblAlgn val="ctr"/>
        <c:lblOffset val="100"/>
        <c:noMultiLvlLbl val="0"/>
      </c:catAx>
      <c:valAx>
        <c:axId val="721530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721529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286869432112588E-3"/>
          <c:y val="0.59181952950325656"/>
          <c:w val="0.98711493858098109"/>
          <c:h val="0.38983255565276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128866741898807E-2"/>
          <c:y val="3.8194444444444448E-2"/>
          <c:w val="0.92443362454089373"/>
          <c:h val="0.4385497616993679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Передано за підсудністю в інші суди- 94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34-41D2-8C6C-F887C5C0C7B7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Із залишенням заяви без розгляду - 1178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1178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34-41D2-8C6C-F887C5C0C7B7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Закрито проваджень - 440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440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34-41D2-8C6C-F887C5C0C7B7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З ухваленням рішення - 11978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11978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134-41D2-8C6C-F887C5C0C7B7}"/>
            </c:ext>
          </c:extLst>
        </c:ser>
        <c:ser>
          <c:idx val="4"/>
          <c:order val="4"/>
          <c:tx>
            <c:strRef>
              <c:f>Аркуш1!$F$1</c:f>
              <c:strCache>
                <c:ptCount val="1"/>
                <c:pt idx="0">
                  <c:v>Всього закінчено проваджень - 13703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Аркуш1!$F$2</c:f>
              <c:numCache>
                <c:formatCode>General</c:formatCode>
                <c:ptCount val="1"/>
                <c:pt idx="0">
                  <c:v>13703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134-41D2-8C6C-F887C5C0C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73358192"/>
        <c:axId val="673362000"/>
      </c:barChart>
      <c:catAx>
        <c:axId val="6733581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73362000"/>
        <c:crosses val="autoZero"/>
        <c:auto val="1"/>
        <c:lblAlgn val="ctr"/>
        <c:lblOffset val="100"/>
        <c:noMultiLvlLbl val="0"/>
      </c:catAx>
      <c:valAx>
        <c:axId val="673362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uk-UA"/>
          </a:p>
        </c:txPr>
        <c:crossAx val="67335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183115955098249E-2"/>
          <c:y val="0.54650594601600722"/>
          <c:w val="0.97915588907431816"/>
          <c:h val="0.444737630018469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>
          <a:solidFill>
            <a:sysClr val="windowText" lastClr="000000"/>
          </a:solidFill>
          <a:latin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DE5-407E-8884-BF3AC03C9B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DE5-407E-8884-BF3AC03C9B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DE5-407E-8884-BF3AC03C9B2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DE5-407E-8884-BF3AC03C9B23}"/>
              </c:ext>
            </c:extLst>
          </c:dPt>
          <c:dLbls>
            <c:dLbl>
              <c:idx val="0"/>
              <c:layout>
                <c:manualLayout>
                  <c:x val="1.2765621148185071E-2"/>
                  <c:y val="-9.0542217441603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DE5-407E-8884-BF3AC03C9B2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985901714818288E-2"/>
                  <c:y val="-0.128670769147783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DE5-407E-8884-BF3AC03C9B2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107021948343415E-2"/>
                  <c:y val="-3.6977361905694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DE5-407E-8884-BF3AC03C9B2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373682909201569E-2"/>
                  <c:y val="-8.473255812350132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DE5-407E-8884-BF3AC03C9B2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Всього закінчено проваджень - 10275</c:v>
                </c:pt>
                <c:pt idx="1">
                  <c:v>Спори що виникають із сімейних правовідносин - 5116</c:v>
                </c:pt>
                <c:pt idx="2">
                  <c:v>Спори що виникають із договірних правочинів - 2213</c:v>
                </c:pt>
                <c:pt idx="3">
                  <c:v>Спори із відносин спадкування - 737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10275</c:v>
                </c:pt>
                <c:pt idx="1">
                  <c:v>5116</c:v>
                </c:pt>
                <c:pt idx="2">
                  <c:v>2213</c:v>
                </c:pt>
                <c:pt idx="3">
                  <c:v>737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DE5-407E-8884-BF3AC03C9B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6842998216383168E-2"/>
          <c:y val="0.66167752493721455"/>
          <c:w val="0.95943417293832745"/>
          <c:h val="0.327000427535554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482028170915935E-2"/>
          <c:y val="3.4630060244506093E-2"/>
          <c:w val="0.89193812188267463"/>
          <c:h val="0.439363236418258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Перебувало адміністративних справ- 565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7.2273918149788358E-3"/>
                  <c:y val="-6.0947368872410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19E-45D2-9388-7F8AEF22A90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565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9E-45D2-9388-7F8AEF22A909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Спори з приводу регулювання містобудування- 13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295871352425628E-2"/>
                  <c:y val="-8.6071610807225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19E-45D2-9388-7F8AEF22A90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9E-45D2-9388-7F8AEF22A909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Спори з перебування іноземців та осіб без громадянства на території України - 18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261631583702165E-2"/>
                  <c:y val="-7.8907099763736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19E-45D2-9388-7F8AEF22A90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9E-45D2-9388-7F8AEF22A909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Спори з приводу забезпечення громадського порядку та безпеки - 386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90956725991508E-2"/>
                  <c:y val="-7.154991903013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19E-45D2-9388-7F8AEF22A90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386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19E-45D2-9388-7F8AEF22A909}"/>
            </c:ext>
          </c:extLst>
        </c:ser>
        <c:ser>
          <c:idx val="4"/>
          <c:order val="4"/>
          <c:tx>
            <c:strRef>
              <c:f>Аркуш1!$F$1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875327491191617E-2"/>
                  <c:y val="-3.180773988337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E19E-45D2-9388-7F8AEF22A90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Аркуш1!$F$2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19E-45D2-9388-7F8AEF22A9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3357104"/>
        <c:axId val="673357648"/>
        <c:axId val="0"/>
      </c:bar3DChart>
      <c:catAx>
        <c:axId val="6733571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73357648"/>
        <c:crosses val="autoZero"/>
        <c:auto val="1"/>
        <c:lblAlgn val="ctr"/>
        <c:lblOffset val="100"/>
        <c:noMultiLvlLbl val="0"/>
      </c:catAx>
      <c:valAx>
        <c:axId val="67335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673357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2.7014709977972976E-3"/>
          <c:y val="0.57795738458544377"/>
          <c:w val="0.99459705800440534"/>
          <c:h val="0.41669859403847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891655887511673E-2"/>
          <c:y val="8.0643715156043447E-2"/>
          <c:w val="0.73464943676298833"/>
          <c:h val="0.49504181542524578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4D-49D0-A761-A39C1E1CF1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4D-49D0-A761-A39C1E1CF1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84D-49D0-A761-A39C1E1CF1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84D-49D0-A761-A39C1E1CF1BA}"/>
              </c:ext>
            </c:extLst>
          </c:dPt>
          <c:dLbls>
            <c:dLbl>
              <c:idx val="0"/>
              <c:layout>
                <c:manualLayout>
                  <c:x val="2.2973487009775865E-2"/>
                  <c:y val="-0.139556384725801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84D-49D0-A761-A39C1E1CF1B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856085584975688E-2"/>
                  <c:y val="-1.01627066857343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84D-49D0-A761-A39C1E1CF1B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6400110312297917E-3"/>
                  <c:y val="-7.2370843175133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84D-49D0-A761-A39C1E1CF1B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85535775419377E-2"/>
                  <c:y val="6.63703899811965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84D-49D0-A761-A39C1E1CF1B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Надійшло справ за ст.173 КУпАП - 2465</c:v>
                </c:pt>
                <c:pt idx="1">
                  <c:v>Повернуто - 115</c:v>
                </c:pt>
                <c:pt idx="2">
                  <c:v>Накладено адміністративне стягнення - 2094</c:v>
                </c:pt>
                <c:pt idx="3">
                  <c:v>закрито за відсутністю подій адміністративного правопорушення - 296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2465</c:v>
                </c:pt>
                <c:pt idx="1">
                  <c:v>115</c:v>
                </c:pt>
                <c:pt idx="2">
                  <c:v>2094</c:v>
                </c:pt>
                <c:pt idx="3">
                  <c:v>296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84D-49D0-A761-A39C1E1CF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4859318733954752"/>
          <c:w val="0.99755867837094536"/>
          <c:h val="0.35140681266045243"/>
        </c:manualLayout>
      </c:layout>
      <c:overlay val="0"/>
      <c:spPr>
        <a:noFill/>
        <a:ln w="0">
          <a:solidFill>
            <a:schemeClr val="lt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1E79-52D4-4C4B-B871-440CD1BF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17</Pages>
  <Words>10220</Words>
  <Characters>5826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</dc:creator>
  <cp:lastModifiedBy>Подольська Марія</cp:lastModifiedBy>
  <cp:revision>155</cp:revision>
  <cp:lastPrinted>2023-02-10T09:13:00Z</cp:lastPrinted>
  <dcterms:created xsi:type="dcterms:W3CDTF">2021-02-05T06:30:00Z</dcterms:created>
  <dcterms:modified xsi:type="dcterms:W3CDTF">2023-02-17T13:36:00Z</dcterms:modified>
</cp:coreProperties>
</file>