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20B94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57315F8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B1E7F78" w14:textId="378A4471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E707300" w14:textId="4AF89992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E285653" w14:textId="2C84714A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6FFAF421" w14:textId="09748470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6096646" w14:textId="41A55E00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0140649" w14:textId="1B41E1A8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97ABA48" w14:textId="77777777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4C0CF729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872AE32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29186E2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3F07A52" w14:textId="534D751A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5D92466D" w14:textId="77777777" w:rsidR="00E330F6" w:rsidRDefault="00E330F6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2B917D0C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0777065C" w14:textId="77777777" w:rsidR="005069E0" w:rsidRDefault="005069E0" w:rsidP="005069E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A8A8CB4" w14:textId="77777777" w:rsidR="00E330F6" w:rsidRDefault="005069E0" w:rsidP="00E330F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69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Огляд даних </w:t>
      </w:r>
    </w:p>
    <w:p w14:paraId="35E41992" w14:textId="0AB5C671" w:rsidR="00E330F6" w:rsidRDefault="005069E0" w:rsidP="00E330F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69E0">
        <w:rPr>
          <w:rFonts w:ascii="Times New Roman" w:hAnsi="Times New Roman" w:cs="Times New Roman"/>
          <w:b/>
          <w:sz w:val="32"/>
          <w:szCs w:val="32"/>
          <w:lang w:val="uk-UA"/>
        </w:rPr>
        <w:t>про стан здійснення правосуддя місцевими судами</w:t>
      </w:r>
    </w:p>
    <w:p w14:paraId="7C3BB875" w14:textId="50966D18" w:rsidR="001460F8" w:rsidRPr="005069E0" w:rsidRDefault="005069E0" w:rsidP="00E330F6">
      <w:pPr>
        <w:spacing w:after="0" w:line="480" w:lineRule="auto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5069E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Івано-Франківської області</w:t>
      </w:r>
    </w:p>
    <w:p w14:paraId="1A2053D2" w14:textId="77777777" w:rsidR="001460F8" w:rsidRPr="005069E0" w:rsidRDefault="001460F8" w:rsidP="009F463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3C67BE" w14:textId="77777777" w:rsidR="001460F8" w:rsidRDefault="001460F8" w:rsidP="009F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964D6AA" w14:textId="77777777" w:rsidR="001460F8" w:rsidRDefault="001460F8" w:rsidP="009F46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C8C0E27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407B233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64C4C08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80DB257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07F6881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D8FFD9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9DBD949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2B9ADC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E0E5DB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DEC6D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7E2BFA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69C67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3EEFF3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C0FDB4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D1A26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54F41B9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C9931EB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C1CEACB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C394CD" w14:textId="044931E1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13051AB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7F51070B" w14:textId="77777777" w:rsidR="00E330F6" w:rsidRDefault="00E330F6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39AA95" w14:textId="77777777" w:rsidR="00AC10B8" w:rsidRDefault="00AC10B8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5B9D4C0" w14:textId="1C5B5E34" w:rsidR="005069E0" w:rsidRPr="00956735" w:rsidRDefault="005069E0" w:rsidP="00E330F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6735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</w:p>
    <w:p w14:paraId="7523BC76" w14:textId="77777777" w:rsidR="005069E0" w:rsidRPr="005069E0" w:rsidRDefault="005069E0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Загальні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справ і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усіх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категорій</w:t>
      </w:r>
      <w:proofErr w:type="spellEnd"/>
      <w:r w:rsidRPr="005069E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701FEAA" w14:textId="77777777" w:rsidR="005069E0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06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озгляд судових справ кримінального провадження.</w:t>
      </w:r>
    </w:p>
    <w:p w14:paraId="2293AD15" w14:textId="47D0FC84" w:rsidR="005069E0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розгляд судових</w:t>
      </w:r>
      <w:r w:rsidR="005620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справ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069E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цивільного провадження.</w:t>
      </w:r>
    </w:p>
    <w:p w14:paraId="1663B2B5" w14:textId="77777777" w:rsidR="005069E0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судових </w:t>
      </w:r>
      <w:r w:rsidR="0095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адміністративного провадження.</w:t>
      </w:r>
    </w:p>
    <w:p w14:paraId="09CB8673" w14:textId="77777777" w:rsidR="00956735" w:rsidRDefault="00B57DE9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оказники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069E0">
        <w:rPr>
          <w:rFonts w:ascii="Times New Roman" w:hAnsi="Times New Roman" w:cs="Times New Roman"/>
          <w:sz w:val="28"/>
          <w:szCs w:val="28"/>
        </w:rPr>
        <w:t>надходження</w:t>
      </w:r>
      <w:proofErr w:type="spellEnd"/>
      <w:r w:rsidRPr="005069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розгляд судових </w:t>
      </w:r>
      <w:r w:rsidR="009567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справ про адміністративні правопорушення.</w:t>
      </w:r>
    </w:p>
    <w:p w14:paraId="5FF1A232" w14:textId="77777777" w:rsidR="00956735" w:rsidRPr="005069E0" w:rsidRDefault="00956735" w:rsidP="00E330F6">
      <w:pPr>
        <w:pStyle w:val="a8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Висновок.</w:t>
      </w:r>
    </w:p>
    <w:p w14:paraId="53E84FC0" w14:textId="77777777" w:rsidR="001460F8" w:rsidRPr="005069E0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12484EB2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FFC340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F25E1E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D118615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519DA9" w14:textId="77777777" w:rsidR="001460F8" w:rsidRDefault="001460F8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1A218E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861129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D4D4428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83CB2E2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BA767C9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456223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0D2A392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BD9DD1F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04DA3C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534FFE4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D49D4B4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471AF11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856096C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7B463CE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659B24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FDB4F5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13DEAB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51FA6C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700D2D5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5A507CC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72915D3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E36E4AB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EF439F" w14:textId="77777777" w:rsidR="00956735" w:rsidRDefault="00956735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1BD25B5" w14:textId="505C42A8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E75FFD2" w14:textId="0FE41580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C198CDE" w14:textId="77777777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C69D5E" w14:textId="77777777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1061C00" w14:textId="77777777" w:rsidR="00E330F6" w:rsidRDefault="00E330F6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F4187E8" w14:textId="77777777" w:rsidR="00DD5BC0" w:rsidRDefault="00DD5BC0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07FC0FA" w14:textId="77777777" w:rsidR="00DD5BC0" w:rsidRDefault="00DD5BC0" w:rsidP="001460F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EDE45F2" w14:textId="5659BFF1" w:rsidR="00DD5BC0" w:rsidRDefault="00DD5BC0" w:rsidP="00DD5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C2559DD" w14:textId="77777777" w:rsidR="00DD5BC0" w:rsidRDefault="00DD5BC0" w:rsidP="00DD5B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3D29FD4" w14:textId="77777777" w:rsidR="00DD5BC0" w:rsidRDefault="00DD5BC0" w:rsidP="00DD5BC0">
      <w:pPr>
        <w:spacing w:after="0" w:line="360" w:lineRule="auto"/>
        <w:ind w:right="-285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14:paraId="2EB4269B" w14:textId="2CBE1A4A" w:rsidR="00DD5BC0" w:rsidRPr="00DF0B40" w:rsidRDefault="00F117B1" w:rsidP="00DD5BC0">
      <w:pPr>
        <w:spacing w:after="0" w:line="360" w:lineRule="auto"/>
        <w:ind w:right="-285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4454C8" w:rsidRPr="00DF0B40">
        <w:rPr>
          <w:rFonts w:ascii="Times New Roman" w:hAnsi="Times New Roman" w:cs="Times New Roman"/>
          <w:b/>
          <w:sz w:val="32"/>
          <w:szCs w:val="32"/>
          <w:lang w:val="uk-UA"/>
        </w:rPr>
        <w:t>1.</w:t>
      </w:r>
      <w:proofErr w:type="spellStart"/>
      <w:r w:rsidR="001460F8" w:rsidRPr="00DF0B40">
        <w:rPr>
          <w:rFonts w:ascii="Times New Roman" w:hAnsi="Times New Roman" w:cs="Times New Roman"/>
          <w:b/>
          <w:sz w:val="32"/>
          <w:szCs w:val="32"/>
        </w:rPr>
        <w:t>Загальні</w:t>
      </w:r>
      <w:proofErr w:type="spellEnd"/>
      <w:r w:rsidR="001460F8"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460F8" w:rsidRPr="00DF0B40">
        <w:rPr>
          <w:rFonts w:ascii="Times New Roman" w:hAnsi="Times New Roman" w:cs="Times New Roman"/>
          <w:b/>
          <w:sz w:val="32"/>
          <w:szCs w:val="32"/>
        </w:rPr>
        <w:t>показники</w:t>
      </w:r>
      <w:proofErr w:type="spellEnd"/>
      <w:r w:rsidR="001460F8"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460F8" w:rsidRPr="00DF0B40">
        <w:rPr>
          <w:rFonts w:ascii="Times New Roman" w:hAnsi="Times New Roman" w:cs="Times New Roman"/>
          <w:b/>
          <w:sz w:val="32"/>
          <w:szCs w:val="32"/>
        </w:rPr>
        <w:t>надходження</w:t>
      </w:r>
      <w:proofErr w:type="spellEnd"/>
      <w:r w:rsidR="001460F8" w:rsidRPr="00DF0B40">
        <w:rPr>
          <w:rFonts w:ascii="Times New Roman" w:hAnsi="Times New Roman" w:cs="Times New Roman"/>
          <w:b/>
          <w:sz w:val="32"/>
          <w:szCs w:val="32"/>
        </w:rPr>
        <w:t xml:space="preserve"> та </w:t>
      </w:r>
      <w:proofErr w:type="spellStart"/>
      <w:r w:rsidR="001460F8" w:rsidRPr="00DF0B40">
        <w:rPr>
          <w:rFonts w:ascii="Times New Roman" w:hAnsi="Times New Roman" w:cs="Times New Roman"/>
          <w:b/>
          <w:sz w:val="32"/>
          <w:szCs w:val="32"/>
        </w:rPr>
        <w:t>розгляду</w:t>
      </w:r>
      <w:proofErr w:type="spellEnd"/>
      <w:r w:rsidR="001460F8" w:rsidRPr="00DF0B40">
        <w:rPr>
          <w:rFonts w:ascii="Times New Roman" w:hAnsi="Times New Roman" w:cs="Times New Roman"/>
          <w:b/>
          <w:sz w:val="32"/>
          <w:szCs w:val="32"/>
        </w:rPr>
        <w:t xml:space="preserve"> справ і </w:t>
      </w:r>
      <w:proofErr w:type="spellStart"/>
      <w:r w:rsidR="001460F8" w:rsidRPr="00DF0B40">
        <w:rPr>
          <w:rFonts w:ascii="Times New Roman" w:hAnsi="Times New Roman" w:cs="Times New Roman"/>
          <w:b/>
          <w:sz w:val="32"/>
          <w:szCs w:val="32"/>
        </w:rPr>
        <w:t>матеріалів</w:t>
      </w:r>
      <w:proofErr w:type="spellEnd"/>
      <w:r w:rsidR="001460F8"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1460F8" w:rsidRPr="00DF0B40">
        <w:rPr>
          <w:rFonts w:ascii="Times New Roman" w:hAnsi="Times New Roman" w:cs="Times New Roman"/>
          <w:b/>
          <w:sz w:val="32"/>
          <w:szCs w:val="32"/>
        </w:rPr>
        <w:t>усіх</w:t>
      </w:r>
      <w:proofErr w:type="spellEnd"/>
      <w:r w:rsidR="00DD5BC0" w:rsidRPr="00DF0B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proofErr w:type="spellStart"/>
      <w:r w:rsidR="001460F8" w:rsidRPr="00DF0B40">
        <w:rPr>
          <w:rFonts w:ascii="Times New Roman" w:hAnsi="Times New Roman" w:cs="Times New Roman"/>
          <w:b/>
          <w:sz w:val="32"/>
          <w:szCs w:val="32"/>
        </w:rPr>
        <w:t>категорій</w:t>
      </w:r>
      <w:proofErr w:type="spellEnd"/>
    </w:p>
    <w:p w14:paraId="1AC47C30" w14:textId="77777777" w:rsidR="004A2AC8" w:rsidRPr="00DF0B40" w:rsidRDefault="004A2AC8" w:rsidP="009A158F">
      <w:pPr>
        <w:tabs>
          <w:tab w:val="left" w:pos="0"/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Завданням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r w:rsidRPr="00DF0B40">
        <w:rPr>
          <w:rFonts w:ascii="Times New Roman" w:hAnsi="Times New Roman" w:cs="Times New Roman"/>
          <w:sz w:val="32"/>
          <w:szCs w:val="32"/>
          <w:lang w:val="en-US"/>
        </w:rPr>
        <w:t>c</w:t>
      </w:r>
      <w:r w:rsidRPr="00DF0B40">
        <w:rPr>
          <w:rFonts w:ascii="Times New Roman" w:hAnsi="Times New Roman" w:cs="Times New Roman"/>
          <w:sz w:val="32"/>
          <w:szCs w:val="32"/>
        </w:rPr>
        <w:t xml:space="preserve">уду є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здійснення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правосуддя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на засадах верховенства права,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забезпечуючи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кожному право на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справедливий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суд та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повагу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прав і свобод,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гарантованих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Конституцією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і законами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EDCFBED" w14:textId="77777777" w:rsidR="004A2AC8" w:rsidRPr="00DF0B40" w:rsidRDefault="004A2AC8" w:rsidP="009A158F">
      <w:pPr>
        <w:tabs>
          <w:tab w:val="left" w:pos="0"/>
          <w:tab w:val="left" w:pos="993"/>
        </w:tabs>
        <w:spacing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DF0B40">
        <w:rPr>
          <w:rFonts w:ascii="Times New Roman" w:hAnsi="Times New Roman" w:cs="Times New Roman"/>
          <w:sz w:val="32"/>
          <w:szCs w:val="32"/>
          <w:lang w:eastAsia="ar-SA"/>
        </w:rPr>
        <w:t>Місцеві</w:t>
      </w:r>
      <w:proofErr w:type="spellEnd"/>
      <w:r w:rsidRPr="00DF0B40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="004A3234" w:rsidRPr="00DF0B40">
        <w:rPr>
          <w:rFonts w:ascii="Times New Roman" w:hAnsi="Times New Roman" w:cs="Times New Roman"/>
          <w:sz w:val="32"/>
          <w:szCs w:val="32"/>
          <w:lang w:val="uk-UA" w:eastAsia="ar-SA"/>
        </w:rPr>
        <w:t xml:space="preserve">загальні </w:t>
      </w:r>
      <w:r w:rsidRPr="00DF0B40">
        <w:rPr>
          <w:rFonts w:ascii="Times New Roman" w:hAnsi="Times New Roman" w:cs="Times New Roman"/>
          <w:sz w:val="32"/>
          <w:szCs w:val="32"/>
          <w:lang w:eastAsia="ar-SA"/>
        </w:rPr>
        <w:t xml:space="preserve">суди </w:t>
      </w:r>
      <w:proofErr w:type="spellStart"/>
      <w:r w:rsidRPr="00DF0B40">
        <w:rPr>
          <w:rFonts w:ascii="Times New Roman" w:hAnsi="Times New Roman" w:cs="Times New Roman"/>
          <w:sz w:val="32"/>
          <w:szCs w:val="32"/>
          <w:lang w:eastAsia="ar-SA"/>
        </w:rPr>
        <w:t>Івано-Франківської</w:t>
      </w:r>
      <w:proofErr w:type="spellEnd"/>
      <w:r w:rsidRPr="00DF0B40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  <w:lang w:eastAsia="ar-SA"/>
        </w:rPr>
        <w:t>області</w:t>
      </w:r>
      <w:proofErr w:type="spellEnd"/>
      <w:r w:rsidRPr="00DF0B40">
        <w:rPr>
          <w:rFonts w:ascii="Times New Roman" w:hAnsi="Times New Roman" w:cs="Times New Roman"/>
          <w:sz w:val="32"/>
          <w:szCs w:val="32"/>
          <w:lang w:eastAsia="ar-SA"/>
        </w:rPr>
        <w:t xml:space="preserve"> </w:t>
      </w:r>
      <w:r w:rsidRPr="00DF0B40">
        <w:rPr>
          <w:rFonts w:ascii="Times New Roman" w:hAnsi="Times New Roman" w:cs="Times New Roman"/>
          <w:sz w:val="32"/>
          <w:szCs w:val="32"/>
        </w:rPr>
        <w:t xml:space="preserve">є судами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першої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інстанції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які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розглядають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цивільні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кримінальні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адміністративні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, а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також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адміністративні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правопорушення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випадках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та порядку,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передбачених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процесуальним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законодавством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>.</w:t>
      </w:r>
    </w:p>
    <w:p w14:paraId="7EB99FAA" w14:textId="6CD49849" w:rsidR="00DB66B5" w:rsidRPr="00DF0B40" w:rsidRDefault="00DB66B5" w:rsidP="003E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Періодами статистичного спостереження здійснення правосуддя місцевими загальними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судами Івано-Франківської області (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далі суди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 є 20</w:t>
      </w:r>
      <w:r w:rsidR="00DB58F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і 20</w:t>
      </w:r>
      <w:r w:rsidR="004A2AC8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DB58F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роки.</w:t>
      </w:r>
    </w:p>
    <w:p w14:paraId="322F449B" w14:textId="4D11903C" w:rsidR="00DB66B5" w:rsidRPr="00DF0B40" w:rsidRDefault="00DB66B5" w:rsidP="003E76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Протягом 20</w:t>
      </w:r>
      <w:r w:rsidR="004A2AC8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DB58F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4A2AC8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року загальна штатна чисельність суддів Івано-Франківської області становить 104 судді, фактична чисельність -</w:t>
      </w:r>
      <w:r w:rsidR="004A2AC8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77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</w:p>
    <w:p w14:paraId="5A67ADEC" w14:textId="6BF23180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  <w:r w:rsidR="00391F8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 даними статистичних звітів місцевих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судів</w:t>
      </w:r>
      <w:r w:rsidR="00391F8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за форами №№ 1-к,1-ц,1-а,1-п, 1-мзс,1-лт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91F8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усього</w:t>
      </w:r>
      <w:r w:rsidR="000857C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у</w:t>
      </w:r>
      <w:r w:rsidR="00391F8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202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391F8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році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надійшло </w:t>
      </w:r>
      <w:r w:rsidR="00DB58F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67296</w:t>
      </w:r>
      <w:r w:rsidR="00026560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справ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та матеріал</w:t>
      </w:r>
      <w:r w:rsidR="00AD76D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ів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DB58F6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DB58F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58979</w:t>
      </w:r>
      <w:r w:rsidR="00AD76D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справ</w:t>
      </w:r>
      <w:r w:rsidR="003E7623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та матеріал</w:t>
      </w:r>
      <w:r w:rsidR="00AD76DA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ів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). За даний період спостерігається т</w:t>
      </w:r>
      <w:r w:rsidR="004F0E6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енденція до з</w:t>
      </w:r>
      <w:r w:rsidR="00DB58F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біль</w:t>
      </w:r>
      <w:r w:rsidR="004F0E6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шення на </w:t>
      </w:r>
      <w:r w:rsidR="00DB58F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8317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Динаміку цих надходжень відображають показники, наведені в 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таблиці №1.</w:t>
      </w:r>
    </w:p>
    <w:p w14:paraId="568818BD" w14:textId="77777777" w:rsidR="00DB66B5" w:rsidRPr="00DF0B40" w:rsidRDefault="00DB66B5" w:rsidP="00DD5BC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B8E2D5F" w14:textId="15D0368D" w:rsidR="00DB66B5" w:rsidRPr="00DF0B40" w:rsidRDefault="00DB66B5" w:rsidP="00DD5BC0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Таблиця №1</w:t>
      </w:r>
    </w:p>
    <w:tbl>
      <w:tblPr>
        <w:tblW w:w="10472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711"/>
        <w:gridCol w:w="3553"/>
        <w:gridCol w:w="992"/>
        <w:gridCol w:w="1123"/>
        <w:gridCol w:w="1134"/>
        <w:gridCol w:w="2959"/>
      </w:tblGrid>
      <w:tr w:rsidR="00DB66B5" w:rsidRPr="00DF0B40" w14:paraId="1DE2E835" w14:textId="77777777" w:rsidTr="009F2AEE"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F8C93" w14:textId="77777777" w:rsidR="00DB66B5" w:rsidRPr="00DF0B40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№ п/п</w:t>
            </w:r>
          </w:p>
        </w:tc>
        <w:tc>
          <w:tcPr>
            <w:tcW w:w="4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0AF00" w14:textId="77777777" w:rsidR="00DB66B5" w:rsidRPr="00DF0B40" w:rsidRDefault="00DB66B5" w:rsidP="00DB66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69DC4" w14:textId="290FBCE2" w:rsidR="00DB66B5" w:rsidRPr="00DF0B40" w:rsidRDefault="00B26BE7" w:rsidP="00B26B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</w:t>
            </w: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F5154" w14:textId="705C6420" w:rsidR="00DB66B5" w:rsidRPr="00DF0B40" w:rsidRDefault="00B26BE7" w:rsidP="00E604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2020 рік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FD749" w14:textId="62675830" w:rsidR="00DB66B5" w:rsidRPr="00DF0B40" w:rsidRDefault="00DB66B5" w:rsidP="00B2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20</w:t>
            </w:r>
            <w:r w:rsidR="00B26B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20</w:t>
            </w: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 xml:space="preserve"> рік у порівнянні до  20</w:t>
            </w:r>
            <w:r w:rsidR="00162662"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2</w:t>
            </w:r>
            <w:r w:rsidR="00B26BE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</w:t>
            </w:r>
            <w:r w:rsidR="0017026E"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</w:t>
            </w: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року</w:t>
            </w:r>
          </w:p>
        </w:tc>
      </w:tr>
      <w:tr w:rsidR="009F2AEE" w:rsidRPr="00DF0B40" w14:paraId="60A80D07" w14:textId="77777777" w:rsidTr="009F2AEE">
        <w:trPr>
          <w:trHeight w:val="555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3072E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745F5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Кримінальні справи  та матеріали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37E1B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98AD4" w14:textId="2B17E88E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20660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FC99F" w14:textId="237A01B5" w:rsidR="009F2AEE" w:rsidRPr="00DF0B40" w:rsidRDefault="00B26BE7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18512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B41A" w14:textId="0AB09C97" w:rsidR="009F2AEE" w:rsidRPr="00DF0B40" w:rsidRDefault="00673567" w:rsidP="009C7A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2</w:t>
            </w:r>
            <w:r w:rsidR="009C7A9C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48</w:t>
            </w:r>
          </w:p>
        </w:tc>
      </w:tr>
      <w:tr w:rsidR="009F2AEE" w:rsidRPr="00DF0B40" w14:paraId="6AEEFB3B" w14:textId="77777777" w:rsidTr="009F2AEE">
        <w:trPr>
          <w:trHeight w:val="81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BF9A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4CAA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E7CE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У тому числі справ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19FB4" w14:textId="189ADF3C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9C5F" w14:textId="46BFB4DA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2928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3DC80" w14:textId="1D4F88B4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-117</w:t>
            </w:r>
          </w:p>
        </w:tc>
      </w:tr>
      <w:tr w:rsidR="009F2AEE" w:rsidRPr="00DF0B40" w14:paraId="3B2F10E6" w14:textId="77777777" w:rsidTr="009F2AEE">
        <w:trPr>
          <w:trHeight w:val="30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8F374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08E11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Цивільні  справи і заяви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715CB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BCAA3" w14:textId="18DE4A26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23472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9AA66" w14:textId="12D3A627" w:rsidR="009F2AEE" w:rsidRPr="00DF0B40" w:rsidRDefault="00B26BE7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19245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B0D6F" w14:textId="0F3C11F3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4227</w:t>
            </w:r>
          </w:p>
        </w:tc>
      </w:tr>
      <w:tr w:rsidR="009F2AEE" w:rsidRPr="00DF0B40" w14:paraId="19DAFAF6" w14:textId="77777777" w:rsidTr="009F2AEE">
        <w:trPr>
          <w:trHeight w:val="24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81C87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B19C5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7347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У тому числі справ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B6D65" w14:textId="03CC13E5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14438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0863F" w14:textId="5C99F31E" w:rsidR="009F2AEE" w:rsidRPr="00DF0B40" w:rsidRDefault="00B26BE7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12864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AEE76" w14:textId="0E893F5E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1574</w:t>
            </w:r>
          </w:p>
        </w:tc>
      </w:tr>
      <w:tr w:rsidR="009F2AEE" w:rsidRPr="00DF0B40" w14:paraId="348D161F" w14:textId="77777777" w:rsidTr="009F2AEE">
        <w:trPr>
          <w:trHeight w:val="36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A7DE5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lastRenderedPageBreak/>
              <w:t>3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C7B74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 xml:space="preserve">Адміністративні справи і заяви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B8F300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0E7C" w14:textId="47263B87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6977" w14:textId="1910B4A5" w:rsidR="009F2AEE" w:rsidRPr="00DF0B40" w:rsidRDefault="00B26BE7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791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9B979" w14:textId="4250B371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-22</w:t>
            </w:r>
          </w:p>
        </w:tc>
      </w:tr>
      <w:tr w:rsidR="009F2AEE" w:rsidRPr="00DF0B40" w14:paraId="6BC7A997" w14:textId="77777777" w:rsidTr="009F2AEE">
        <w:trPr>
          <w:trHeight w:val="180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681D3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F37F8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30766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У тому числі справ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FB9E2" w14:textId="7A316D1B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575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AE72B" w14:textId="30EEE340" w:rsidR="009F2AEE" w:rsidRPr="00DF0B40" w:rsidRDefault="00B26BE7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568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552E" w14:textId="2D00DC08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7</w:t>
            </w:r>
          </w:p>
        </w:tc>
      </w:tr>
      <w:tr w:rsidR="009F2AEE" w:rsidRPr="00DF0B40" w14:paraId="71414AAA" w14:textId="77777777" w:rsidTr="009F2AEE">
        <w:trPr>
          <w:trHeight w:val="450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1E490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4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A58EE" w14:textId="77777777" w:rsidR="009F2AEE" w:rsidRPr="00DF0B40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Справи про адміністративні правопорушення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27C86" w14:textId="77777777" w:rsidR="009F2AEE" w:rsidRPr="00DF0B40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00741" w14:textId="3AC10514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22395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33C00" w14:textId="1C9871A0" w:rsidR="009F2AEE" w:rsidRPr="00DF0B40" w:rsidRDefault="00B26BE7" w:rsidP="0028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20</w:t>
            </w:r>
            <w:r w:rsidR="0028149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431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1C1B7" w14:textId="1505DA8D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1964</w:t>
            </w:r>
          </w:p>
        </w:tc>
      </w:tr>
      <w:tr w:rsidR="009F2AEE" w:rsidRPr="00DF0B40" w14:paraId="74D57FDB" w14:textId="77777777" w:rsidTr="009F2AEE">
        <w:trPr>
          <w:trHeight w:val="1268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5D02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EFC4F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20971" w14:textId="77777777" w:rsidR="009F2AEE" w:rsidRPr="00DF0B40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i/>
                <w:sz w:val="32"/>
                <w:szCs w:val="32"/>
                <w:lang w:val="uk-UA" w:eastAsia="ru-RU"/>
              </w:rPr>
              <w:t>У тому числі справ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0E402" w14:textId="280736D1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22257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7DDCA" w14:textId="3978BE24" w:rsidR="009F2AEE" w:rsidRPr="00DF0B40" w:rsidRDefault="00B26BE7" w:rsidP="0028149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20</w:t>
            </w:r>
            <w:r w:rsidR="0028149C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340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9003" w14:textId="1C9E1D2E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1917</w:t>
            </w:r>
          </w:p>
        </w:tc>
      </w:tr>
      <w:tr w:rsidR="009F2AEE" w:rsidRPr="00DF0B40" w14:paraId="3EA72AC4" w14:textId="77777777" w:rsidTr="009F2AEE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6DA50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5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1FC50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Заяви про перегляд судових рішень адміністративного судочинства за нововиявленими обставинам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96D52" w14:textId="77777777" w:rsidR="009F2AEE" w:rsidRPr="00DF0B40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3979D" w14:textId="7DE7D234" w:rsidR="009F2AEE" w:rsidRPr="00DF0B40" w:rsidRDefault="00DC5E25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3E0C" w14:textId="0E967AF4" w:rsidR="009F2AEE" w:rsidRPr="00DF0B40" w:rsidRDefault="00B26BE7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539CC" w14:textId="78D22BE6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-1</w:t>
            </w:r>
          </w:p>
        </w:tc>
      </w:tr>
      <w:tr w:rsidR="009F2AEE" w:rsidRPr="00DF0B40" w14:paraId="5E565B44" w14:textId="77777777" w:rsidTr="009F2AEE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6B02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6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B60258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Заяви про перегляд судових рішень цивільного судочинства за нововиявленими обставинами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4C2E8" w14:textId="77777777" w:rsidR="009F2AEE" w:rsidRPr="00DF0B40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62F6C" w14:textId="11EBA3B7" w:rsidR="009F2AEE" w:rsidRPr="00DF0B40" w:rsidRDefault="0028149C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626B7" w14:textId="3DF78E06" w:rsidR="009F2AEE" w:rsidRPr="00DF0B40" w:rsidRDefault="00B26BE7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29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0436" w14:textId="31EB0D9E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-1</w:t>
            </w:r>
          </w:p>
        </w:tc>
      </w:tr>
      <w:tr w:rsidR="009F2AEE" w:rsidRPr="00DF0B40" w14:paraId="5781BD76" w14:textId="77777777" w:rsidTr="009F2AEE">
        <w:trPr>
          <w:trHeight w:val="37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F81CC4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en-US" w:eastAsia="ru-RU"/>
              </w:rPr>
              <w:t>7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4559C" w14:textId="77777777" w:rsidR="009F2AEE" w:rsidRPr="00DF0B40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Інших справ і матеріалів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50350" w14:textId="77777777" w:rsidR="009F2AEE" w:rsidRPr="00DF0B40" w:rsidRDefault="009F2AEE" w:rsidP="009F2A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Усього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CCC09" w14:textId="662C02B0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C430B" w14:textId="55DF9A0E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0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EBAB" w14:textId="7F4900F6" w:rsidR="009F2AEE" w:rsidRPr="00DF0B40" w:rsidRDefault="00F56415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0</w:t>
            </w:r>
          </w:p>
        </w:tc>
      </w:tr>
      <w:tr w:rsidR="009F2AEE" w:rsidRPr="00DF0B40" w14:paraId="625E4D02" w14:textId="77777777" w:rsidTr="009F2AEE">
        <w:trPr>
          <w:trHeight w:val="422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E3681" w14:textId="77777777" w:rsidR="009F2AEE" w:rsidRPr="00DF0B40" w:rsidRDefault="009F2AEE" w:rsidP="009F2A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</w:pP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US" w:eastAsia="ru-RU"/>
              </w:rPr>
              <w:t>8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DB625" w14:textId="77777777" w:rsidR="009F2AEE" w:rsidRPr="00DF0B40" w:rsidRDefault="009F2AEE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 w:rsidRPr="00DF0B40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Всього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1ADFE" w14:textId="1663CD5E" w:rsidR="009F2AEE" w:rsidRPr="00DF0B40" w:rsidRDefault="009F2AEE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CA92F" w14:textId="17F46977" w:rsidR="009F2AEE" w:rsidRPr="00DF0B40" w:rsidRDefault="0028149C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67296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36DF4" w14:textId="26ECE3D8" w:rsidR="009F2AEE" w:rsidRPr="00DF0B40" w:rsidRDefault="00B26BE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58979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E0979" w14:textId="21763201" w:rsidR="009F2AEE" w:rsidRPr="00DF0B40" w:rsidRDefault="00673567" w:rsidP="009F2A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highlight w:val="yellow"/>
                <w:lang w:val="uk-UA" w:eastAsia="ru-RU"/>
              </w:rPr>
            </w:pPr>
            <w:r w:rsidRPr="00673567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uk-UA" w:eastAsia="ru-RU"/>
              </w:rPr>
              <w:t>8317</w:t>
            </w:r>
          </w:p>
        </w:tc>
      </w:tr>
    </w:tbl>
    <w:p w14:paraId="32863DD0" w14:textId="379745DD" w:rsidR="00DD5BC0" w:rsidRPr="00DF0B40" w:rsidRDefault="00DD5BC0" w:rsidP="00DD5B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4D5A59F8" w14:textId="77777777" w:rsidR="00DD5BC0" w:rsidRPr="00DF0B40" w:rsidRDefault="00DD5BC0" w:rsidP="00DD5BC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tbl>
      <w:tblPr>
        <w:tblW w:w="793" w:type="dxa"/>
        <w:tblLook w:val="04A0" w:firstRow="1" w:lastRow="0" w:firstColumn="1" w:lastColumn="0" w:noHBand="0" w:noVBand="1"/>
      </w:tblPr>
      <w:tblGrid>
        <w:gridCol w:w="516"/>
        <w:gridCol w:w="277"/>
      </w:tblGrid>
      <w:tr w:rsidR="009F0C53" w:rsidRPr="00DF0B40" w14:paraId="05CD2022" w14:textId="77777777" w:rsidTr="009F0C53">
        <w:trPr>
          <w:trHeight w:val="269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E17B" w14:textId="77777777" w:rsidR="009F0C53" w:rsidRPr="00DF0B40" w:rsidRDefault="009F0C53" w:rsidP="00E330F6">
            <w:pPr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32"/>
                <w:szCs w:val="32"/>
                <w:lang w:val="uk-UA" w:eastAsia="uk-UA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52584" w14:textId="77777777" w:rsidR="009F0C53" w:rsidRPr="00DF0B40" w:rsidRDefault="009F0C53" w:rsidP="00E330F6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uk-UA"/>
              </w:rPr>
            </w:pPr>
          </w:p>
        </w:tc>
      </w:tr>
    </w:tbl>
    <w:p w14:paraId="3ABA2E36" w14:textId="77777777" w:rsidR="006A2CE5" w:rsidRPr="00DF0B40" w:rsidRDefault="006A2CE5" w:rsidP="00B52A84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7DD82D75" w14:textId="77777777" w:rsidR="00726934" w:rsidRPr="00DF0B40" w:rsidRDefault="00726934" w:rsidP="000726F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14:paraId="38EDB22E" w14:textId="6011CED6" w:rsidR="00B52A84" w:rsidRPr="00DF0B40" w:rsidRDefault="004454C8" w:rsidP="000726F9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hAnsi="Times New Roman" w:cs="Times New Roman"/>
          <w:b/>
          <w:sz w:val="32"/>
          <w:szCs w:val="32"/>
          <w:lang w:val="uk-UA"/>
        </w:rPr>
        <w:t>2.</w:t>
      </w:r>
      <w:r w:rsidR="00111B1C" w:rsidRPr="00DF0B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 </w:t>
      </w:r>
      <w:r w:rsidR="00B52A84" w:rsidRPr="00DF0B40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proofErr w:type="spellStart"/>
      <w:r w:rsidR="00B52A84" w:rsidRPr="00DF0B40">
        <w:rPr>
          <w:rFonts w:ascii="Times New Roman" w:hAnsi="Times New Roman" w:cs="Times New Roman"/>
          <w:b/>
          <w:sz w:val="32"/>
          <w:szCs w:val="32"/>
        </w:rPr>
        <w:t>оказники</w:t>
      </w:r>
      <w:proofErr w:type="spellEnd"/>
      <w:r w:rsidR="00B52A84"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52A84" w:rsidRPr="00DF0B40">
        <w:rPr>
          <w:rFonts w:ascii="Times New Roman" w:hAnsi="Times New Roman" w:cs="Times New Roman"/>
          <w:b/>
          <w:sz w:val="32"/>
          <w:szCs w:val="32"/>
        </w:rPr>
        <w:t>надходження</w:t>
      </w:r>
      <w:proofErr w:type="spellEnd"/>
      <w:r w:rsidR="00B52A84"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2A84" w:rsidRPr="00DF0B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</w:t>
      </w:r>
      <w:r w:rsidR="00B52A84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розгляд судових справ кримінального провадження</w:t>
      </w:r>
      <w:r w:rsidR="00B52A84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14:paraId="11D96388" w14:textId="77777777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BCC238F" w14:textId="0B3AF050" w:rsidR="00DB66B5" w:rsidRPr="00DF0B40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провадженні судів першої інстанції у звітному періоді знаходилось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 розгляді </w:t>
      </w:r>
      <w:r w:rsidR="00CF6BC5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51</w:t>
      </w:r>
      <w:r w:rsidR="004F78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35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кримінальн</w:t>
      </w:r>
      <w:r w:rsidR="004F78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их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проваджен</w:t>
      </w:r>
      <w:r w:rsidR="004F787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ь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згідно нового процесуального кодексу України. За старим КПК у місцевих судах перебувало </w:t>
      </w:r>
      <w:r w:rsidR="00CF6BC5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16</w:t>
      </w:r>
      <w:r w:rsidR="00955445"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кримінальних справ. </w:t>
      </w:r>
    </w:p>
    <w:p w14:paraId="417D05E8" w14:textId="6CF43DC2" w:rsidR="00DB66B5" w:rsidRPr="00DF0B40" w:rsidRDefault="00DB66B5" w:rsidP="00E604A6">
      <w:pPr>
        <w:spacing w:after="0" w:line="264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Отже, протягом 20</w:t>
      </w:r>
      <w:r w:rsidR="004D17C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CF6BC5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4D17C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року у провадженні судів перебувало (з урахуванням залишку на початку року) </w:t>
      </w:r>
      <w:r w:rsidR="00CF6BC5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51</w:t>
      </w:r>
      <w:r w:rsidR="004F787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51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кримінальн</w:t>
      </w:r>
      <w:r w:rsidR="0031330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справ</w:t>
      </w:r>
      <w:r w:rsidR="0031330F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, проваджень.</w:t>
      </w:r>
    </w:p>
    <w:p w14:paraId="745870C4" w14:textId="2C976897" w:rsidR="00DB66B5" w:rsidRPr="00DF0B40" w:rsidRDefault="00DB66B5" w:rsidP="000F52D0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  <w:r w:rsidRPr="005C21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Протягом 20</w:t>
      </w:r>
      <w:r w:rsidR="004D17CD" w:rsidRPr="005C21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CF6BC5" w:rsidRPr="005C213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49765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року закінчено </w:t>
      </w:r>
      <w:r w:rsidR="002C13A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944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</w:t>
      </w:r>
      <w:r w:rsidR="0049765E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</w:t>
      </w:r>
      <w:r w:rsidR="004D17CD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4</w:t>
      </w:r>
      <w:r w:rsidR="00CF6BC5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59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CF6BC5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кримінальних проваджень, з яких </w:t>
      </w:r>
      <w:r w:rsidR="00BA37A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833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0F4D1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EF4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444B6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="00EF4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0F4D1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% (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1497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або </w:t>
      </w:r>
      <w:r w:rsidR="004D17C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="00836EE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0,8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 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 розг</w:t>
      </w:r>
      <w:r w:rsidR="0033777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лянуто </w:t>
      </w:r>
      <w:r w:rsidR="0033777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з постановленням </w:t>
      </w:r>
      <w:proofErr w:type="spellStart"/>
      <w:r w:rsidR="0033777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вироку</w:t>
      </w:r>
      <w:proofErr w:type="spellEnd"/>
      <w:r w:rsidR="00C4528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="0033777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1038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EF4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35</w:t>
      </w:r>
      <w:r w:rsidR="000F4D1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% (</w:t>
      </w:r>
      <w:r w:rsidR="004D17CD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7</w:t>
      </w:r>
      <w:r w:rsidR="006444BA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або </w:t>
      </w:r>
      <w:r w:rsidR="00531D09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</w:t>
      </w:r>
      <w:r w:rsidR="006444BA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9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%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із закриттям провадження, що відображено в </w:t>
      </w: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діаграмі № 1.</w:t>
      </w:r>
    </w:p>
    <w:p w14:paraId="7FEB0716" w14:textId="77777777" w:rsidR="000F52D0" w:rsidRPr="00DF0B40" w:rsidRDefault="000F52D0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67BC8CE" w14:textId="77777777" w:rsidR="00DB66B5" w:rsidRPr="00DF0B40" w:rsidRDefault="00DB66B5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Діаграма №1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.</w:t>
      </w:r>
    </w:p>
    <w:p w14:paraId="05D383BF" w14:textId="77777777" w:rsidR="00DB66B5" w:rsidRPr="00DF0B40" w:rsidRDefault="00DB66B5" w:rsidP="00813FC9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Розгляд кримінальних справ, кількість</w:t>
      </w:r>
    </w:p>
    <w:p w14:paraId="1E71E213" w14:textId="77777777" w:rsidR="00DB66B5" w:rsidRPr="00DF0B40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14:paraId="11FAA269" w14:textId="22CF4434" w:rsidR="000F52D0" w:rsidRPr="00DF0B40" w:rsidRDefault="000726F9" w:rsidP="000F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1814E3D" wp14:editId="5F4AC0D0">
            <wp:simplePos x="0" y="0"/>
            <wp:positionH relativeFrom="margin">
              <wp:align>center</wp:align>
            </wp:positionH>
            <wp:positionV relativeFrom="paragraph">
              <wp:posOffset>210544</wp:posOffset>
            </wp:positionV>
            <wp:extent cx="7116418" cy="2488593"/>
            <wp:effectExtent l="0" t="0" r="8890" b="6985"/>
            <wp:wrapNone/>
            <wp:docPr id="5" name="Діаграма 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B02A296-59A0-42E9-8A77-3F844B7D2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6B5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20</w:t>
      </w:r>
      <w:r w:rsidR="00DB66B5" w:rsidRPr="00DF0B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B66B5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рік  </w:t>
      </w:r>
      <w:r w:rsidR="000F52D0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                     </w:t>
      </w:r>
      <w:r w:rsidR="00141DF0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</w:t>
      </w:r>
    </w:p>
    <w:p w14:paraId="57354FC3" w14:textId="7A7ED437" w:rsidR="000F52D0" w:rsidRPr="00DF0B40" w:rsidRDefault="000F52D0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341DFD4" w14:textId="7F7EE9A8" w:rsidR="00DB66B5" w:rsidRPr="00DF0B40" w:rsidRDefault="00614621" w:rsidP="00614621">
      <w:pPr>
        <w:tabs>
          <w:tab w:val="left" w:pos="75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14:paraId="0134A8C1" w14:textId="772DC9D3" w:rsidR="00141DF0" w:rsidRPr="00DF0B4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C3A9455" w14:textId="5E49039B" w:rsidR="00141DF0" w:rsidRPr="00DF0B40" w:rsidRDefault="00614621" w:rsidP="00614621">
      <w:pPr>
        <w:tabs>
          <w:tab w:val="left" w:pos="6323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14:paraId="4E595EC4" w14:textId="00F7E067" w:rsidR="00141DF0" w:rsidRPr="00DF0B40" w:rsidRDefault="00614621" w:rsidP="00614621">
      <w:pPr>
        <w:tabs>
          <w:tab w:val="left" w:pos="7450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14:paraId="55955AFF" w14:textId="0375077F" w:rsidR="00141DF0" w:rsidRPr="00DF0B40" w:rsidRDefault="00614621" w:rsidP="00614621">
      <w:pPr>
        <w:tabs>
          <w:tab w:val="left" w:pos="6223"/>
        </w:tabs>
        <w:spacing w:after="0" w:line="264" w:lineRule="auto"/>
        <w:ind w:firstLine="709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14:paraId="5DD0C1A6" w14:textId="24A1EFBD" w:rsidR="00141DF0" w:rsidRPr="00DF0B40" w:rsidRDefault="00614621" w:rsidP="00614621">
      <w:pPr>
        <w:tabs>
          <w:tab w:val="left" w:pos="6774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14:paraId="2CA1F56B" w14:textId="77777777" w:rsidR="00141DF0" w:rsidRPr="00DF0B4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C50C3DD" w14:textId="396875F2" w:rsidR="00141DF0" w:rsidRPr="00DF0B40" w:rsidRDefault="00E06CAF" w:rsidP="00E06CAF">
      <w:pPr>
        <w:tabs>
          <w:tab w:val="left" w:pos="4295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14:paraId="2176E5C1" w14:textId="77777777" w:rsidR="00141DF0" w:rsidRPr="00DF0B40" w:rsidRDefault="00141DF0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958E93D" w14:textId="77777777" w:rsidR="00B24CE2" w:rsidRPr="00DF0B40" w:rsidRDefault="00B24CE2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12F8B7FB" w14:textId="77777777" w:rsidR="00B24CE2" w:rsidRPr="00DF0B40" w:rsidRDefault="00B24CE2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006E9E7" w14:textId="77777777" w:rsidR="000726F9" w:rsidRPr="00DF0B40" w:rsidRDefault="000726F9" w:rsidP="000726F9">
      <w:pPr>
        <w:spacing w:after="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36C0C32" w14:textId="2B7AF5E7" w:rsidR="000726F9" w:rsidRPr="00DF0B40" w:rsidRDefault="000726F9" w:rsidP="000726F9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20</w:t>
      </w:r>
      <w:r w:rsidR="0075212F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21</w:t>
      </w:r>
      <w:r w:rsidRPr="00DF0B4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рік</w:t>
      </w:r>
    </w:p>
    <w:p w14:paraId="47952F47" w14:textId="19F83B02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5408" behindDoc="1" locked="0" layoutInCell="1" allowOverlap="1" wp14:anchorId="1E2EC306" wp14:editId="33D4E6BF">
            <wp:simplePos x="0" y="0"/>
            <wp:positionH relativeFrom="column">
              <wp:posOffset>-171919</wp:posOffset>
            </wp:positionH>
            <wp:positionV relativeFrom="paragraph">
              <wp:posOffset>82605</wp:posOffset>
            </wp:positionV>
            <wp:extent cx="7020560" cy="2639585"/>
            <wp:effectExtent l="0" t="0" r="8890" b="8890"/>
            <wp:wrapNone/>
            <wp:docPr id="7" name="Діаграма 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FB02A296-59A0-42E9-8A77-3F844B7D29C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3BDC9A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DEDAAD8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35610C8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2361A84" w14:textId="7B7D0659" w:rsidR="000726F9" w:rsidRPr="00DF0B40" w:rsidRDefault="00A417E5" w:rsidP="00A417E5">
      <w:pPr>
        <w:tabs>
          <w:tab w:val="left" w:pos="3869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14:paraId="33E849C7" w14:textId="5D2BFC5B" w:rsidR="000726F9" w:rsidRPr="00DF0B40" w:rsidRDefault="00A417E5" w:rsidP="00A417E5">
      <w:pPr>
        <w:tabs>
          <w:tab w:val="left" w:pos="4032"/>
        </w:tabs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14:paraId="0491CBD7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44920D1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13B5E376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1AF869E5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419A079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6EF3919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2E2E117" w14:textId="77777777" w:rsidR="000726F9" w:rsidRPr="00DF0B40" w:rsidRDefault="000726F9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783F7DC" w14:textId="77777777" w:rsidR="009F0C53" w:rsidRPr="00DF0B40" w:rsidRDefault="009F0C53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78A46F5" w14:textId="77777777" w:rsidR="009F0C53" w:rsidRPr="00DF0B40" w:rsidRDefault="009F0C53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AB6E475" w14:textId="33276F59" w:rsidR="00DB66B5" w:rsidRPr="00DF0B40" w:rsidRDefault="00DB66B5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У структурі розглянутих кримінальних проваджень продовжують переважати злочини проти власності, які становлять 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814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745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 справ або </w:t>
      </w:r>
      <w:r w:rsidR="00EF4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531D09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3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%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від загальної кількості справ, провадження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яких закінчено. Більша половина злочинів проти власності –</w:t>
      </w:r>
      <w:r w:rsidR="004F0E6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6C7845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 або </w:t>
      </w:r>
      <w:r w:rsidR="00EF4B2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 – це крадіжки.</w:t>
      </w:r>
    </w:p>
    <w:p w14:paraId="05675943" w14:textId="1F1CB71B" w:rsidR="00DB66B5" w:rsidRPr="00DF0B40" w:rsidRDefault="00DB66B5" w:rsidP="000F52D0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Значну кількість кримінальних проваджень, які розглянуто, становлять</w:t>
      </w:r>
      <w:r w:rsidR="00592182" w:rsidRPr="0059218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592182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злочини проти життя та здоров’я особи – 896 (30%),</w:t>
      </w:r>
      <w:r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проти власності –</w:t>
      </w:r>
      <w:r w:rsidR="000F4D1A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46B7C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811</w:t>
      </w:r>
      <w:r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</w:t>
      </w:r>
      <w:r w:rsidR="005C213D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27</w:t>
      </w:r>
      <w:r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%), </w:t>
      </w:r>
      <w:r w:rsidR="00745311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проти безпеки руху та експлуатації транспорту 260 – (9%), </w:t>
      </w:r>
      <w:r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сфері наркотичних засобів</w:t>
      </w:r>
      <w:r w:rsidR="008F6731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200 (7%),</w:t>
      </w:r>
      <w:r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F6731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проти громадської безпеки</w:t>
      </w:r>
      <w:r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40720A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143 (</w:t>
      </w:r>
      <w:r w:rsidR="0042359A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</w:t>
      </w:r>
      <w:r w:rsidR="0040720A" w:rsidRPr="0042359A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%),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що відображено в </w:t>
      </w: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діаграмі № 2.</w:t>
      </w:r>
    </w:p>
    <w:p w14:paraId="24ECBB57" w14:textId="77777777" w:rsidR="007E03E6" w:rsidRPr="00DF0B40" w:rsidRDefault="007E03E6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14:paraId="13D79495" w14:textId="77777777" w:rsidR="007E03E6" w:rsidRPr="00DF0B40" w:rsidRDefault="007E03E6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14:paraId="4AF5AE76" w14:textId="28DBD06C" w:rsidR="00DB66B5" w:rsidRPr="00DF0B40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Діаграма №2</w:t>
      </w:r>
    </w:p>
    <w:p w14:paraId="4E32B62A" w14:textId="77777777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14:paraId="0A83462C" w14:textId="3E967DE7" w:rsidR="00DB66B5" w:rsidRPr="00DF0B40" w:rsidRDefault="006A2CE5" w:rsidP="006A2CE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                     </w:t>
      </w:r>
      <w:r w:rsidR="00DB66B5"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Розгляд кримінальних справ проти власності</w:t>
      </w: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</w:t>
      </w:r>
      <w:r w:rsidR="00DB66B5"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20</w:t>
      </w:r>
      <w:r w:rsidR="00111B1C"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2</w:t>
      </w:r>
      <w:r w:rsidR="00540612" w:rsidRPr="00601E0F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1</w:t>
      </w:r>
      <w:r w:rsidR="00DB66B5"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рік             </w:t>
      </w:r>
    </w:p>
    <w:p w14:paraId="6927C273" w14:textId="5428E327" w:rsidR="00DB66B5" w:rsidRPr="00DF0B40" w:rsidRDefault="004454C8" w:rsidP="00DB66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6432" behindDoc="1" locked="0" layoutInCell="1" allowOverlap="1" wp14:anchorId="3187897A" wp14:editId="2F8A3006">
            <wp:simplePos x="0" y="0"/>
            <wp:positionH relativeFrom="column">
              <wp:posOffset>-228048</wp:posOffset>
            </wp:positionH>
            <wp:positionV relativeFrom="paragraph">
              <wp:posOffset>84924</wp:posOffset>
            </wp:positionV>
            <wp:extent cx="7124369" cy="3800724"/>
            <wp:effectExtent l="0" t="0" r="635" b="9525"/>
            <wp:wrapNone/>
            <wp:docPr id="10" name="Діаграма 10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6855B425-3D50-48DA-976F-407AC0492F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5BA605" w14:textId="77777777" w:rsidR="00DB66B5" w:rsidRPr="00DF0B40" w:rsidRDefault="00DB66B5" w:rsidP="00DB66B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7FCEB68" w14:textId="77777777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0BE0F30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15FA633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75B2A28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90C4F80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9AA619D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BD4D9E2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026CCB49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2023A665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00B5724F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2AA1226F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1FF49045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76A9FF7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0146EED6" w14:textId="77777777" w:rsidR="004454C8" w:rsidRPr="00DF0B40" w:rsidRDefault="004454C8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CDFA33C" w14:textId="575044C2" w:rsidR="00DB66B5" w:rsidRPr="00DF0B40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Протягом 20</w:t>
      </w:r>
      <w:r w:rsidR="004D17C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року на розгляді в судах перебувал</w:t>
      </w:r>
      <w:r w:rsidR="000857C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кримінальних проваджень </w:t>
      </w:r>
      <w:r w:rsidR="009A61A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злочини щодо легалізації (відмивання) доходів, одержаних злочинним шляхом, фінансування тероризму та фінансування розповсюдження зброї масового знищення </w:t>
      </w:r>
      <w:r w:rsidR="00761EF0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у 20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році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="009A61AB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6</w:t>
      </w:r>
      <w:r w:rsidR="00761EF0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Із них </w:t>
      </w:r>
      <w:r w:rsidR="00761EF0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б перебуває в залишку станом на </w:t>
      </w:r>
      <w:r w:rsidR="00761EF0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 січня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</w:t>
      </w:r>
      <w:r w:rsidR="0049765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49765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14:paraId="0A862651" w14:textId="42918730" w:rsidR="00DB66B5" w:rsidRPr="00DF0B40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20</w:t>
      </w:r>
      <w:r w:rsidR="004D17C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році в судах перебувало на розгляді </w:t>
      </w:r>
      <w:r w:rsidR="000E7C4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="00531D0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кримінальн</w:t>
      </w:r>
      <w:r w:rsidR="00D269A5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их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проваджен</w:t>
      </w:r>
      <w:r w:rsidR="00917F0F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ня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щодо </w:t>
      </w:r>
      <w:r w:rsidR="006C7845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103</w:t>
      </w:r>
      <w:r w:rsidR="00761EF0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осіб, які скоїли злочини у складі організованої групи. Розглянуто</w:t>
      </w:r>
      <w:r w:rsidR="006C7845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7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кримінальних проваджень</w:t>
      </w:r>
      <w:r w:rsidR="004C4E3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4C4E3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ідносно </w:t>
      </w:r>
      <w:r w:rsidR="00846B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10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осіб визнано такими, що скоїли злочини у складі організованої групи.</w:t>
      </w:r>
    </w:p>
    <w:p w14:paraId="5778AC05" w14:textId="1B49EAF4" w:rsidR="00DB66B5" w:rsidRPr="00DF0B40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За </w:t>
      </w:r>
      <w:proofErr w:type="spellStart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вироками</w:t>
      </w:r>
      <w:proofErr w:type="spellEnd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що набрали і не набрали на кінець звітного періоду законної сили, засуджено (з урахуванням статей 69,70,71 КК України) до різних видів покарання </w:t>
      </w:r>
      <w:r w:rsidR="00AF43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1917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1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558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осіб. Загальна кількість виправданих становить </w:t>
      </w:r>
      <w:r w:rsidR="00AF43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</w:t>
      </w:r>
      <w:r w:rsidR="004C4E3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б.</w:t>
      </w:r>
    </w:p>
    <w:p w14:paraId="4B6C174E" w14:textId="16C9066A" w:rsidR="00DB66B5" w:rsidRPr="00DF0B40" w:rsidRDefault="00DB66B5" w:rsidP="00F4335F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 результатами судового розгляду кримінальних проваджень звільнено з-під варти із залу судового засідання </w:t>
      </w:r>
      <w:r w:rsidR="005936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взято під варту </w:t>
      </w:r>
      <w:r w:rsidR="005936F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14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що на 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б 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біль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ше, ніж в 20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</w:t>
      </w:r>
      <w:r w:rsidR="00761EF0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році.</w:t>
      </w:r>
    </w:p>
    <w:p w14:paraId="0CC6DCDD" w14:textId="5817DD2A" w:rsidR="00DB66B5" w:rsidRPr="00DF0B40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Станом на 1 січня 20</w:t>
      </w:r>
      <w:r w:rsidR="0049765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року залишилося нерозглянутими </w:t>
      </w:r>
      <w:r w:rsidR="00CD1B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2206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2357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836EE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кримінальних проваджень або більше третини від загального числа тих, що перебували в провадженні судів упродовж звітного періоду.</w:t>
      </w:r>
    </w:p>
    <w:p w14:paraId="40F66A7B" w14:textId="39E5BA10" w:rsidR="007E03E6" w:rsidRPr="00DF0B40" w:rsidRDefault="00DB66B5" w:rsidP="009F0C53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Слід зазначити, що не розглянуто проваджень понад 6 місяців до 1 року – </w:t>
      </w:r>
      <w:r w:rsidR="00CD1B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330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 понад 1 рік до 2 років – </w:t>
      </w:r>
      <w:r w:rsidR="00C0249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CD1B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понад 2 роки –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D1B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515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r w:rsidR="00CD1BEF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218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кримінальн</w:t>
      </w:r>
      <w:r w:rsidR="009A1A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их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проваджен</w:t>
      </w:r>
      <w:r w:rsidR="009A1A9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ь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proofErr w:type="spellStart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зупинено</w:t>
      </w:r>
      <w:proofErr w:type="spellEnd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(в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році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="0049765E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67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)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 </w:t>
      </w: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діаграмі № 3.</w:t>
      </w:r>
    </w:p>
    <w:p w14:paraId="0F0A290E" w14:textId="6B0D0197" w:rsidR="00DB66B5" w:rsidRPr="00DF0B40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Діаграма №3</w:t>
      </w:r>
    </w:p>
    <w:p w14:paraId="13D5A880" w14:textId="07E24B65" w:rsidR="00DB66B5" w:rsidRPr="00DF0B40" w:rsidRDefault="006A2CE5" w:rsidP="00DB66B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            </w:t>
      </w:r>
      <w:bookmarkStart w:id="0" w:name="_GoBack"/>
      <w:bookmarkEnd w:id="0"/>
      <w:r w:rsidR="00DB66B5"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Кількість не розглянутих справ на кінець </w:t>
      </w:r>
      <w:r w:rsidR="00F4335F"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звітного</w:t>
      </w:r>
      <w:r w:rsidR="00DB66B5"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періоду</w:t>
      </w:r>
    </w:p>
    <w:p w14:paraId="06ADE2A3" w14:textId="58260318" w:rsidR="00DB66B5" w:rsidRPr="00DF0B40" w:rsidRDefault="004454C8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7456" behindDoc="1" locked="0" layoutInCell="1" allowOverlap="1" wp14:anchorId="08138A5C" wp14:editId="4AC0D185">
            <wp:simplePos x="0" y="0"/>
            <wp:positionH relativeFrom="page">
              <wp:align>right</wp:align>
            </wp:positionH>
            <wp:positionV relativeFrom="paragraph">
              <wp:posOffset>117336</wp:posOffset>
            </wp:positionV>
            <wp:extent cx="7418567" cy="3713259"/>
            <wp:effectExtent l="0" t="0" r="11430" b="1905"/>
            <wp:wrapNone/>
            <wp:docPr id="1" name="Діаграма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DCA586FD-6B9D-439F-B1ED-41C15288ED9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C3A2A" w14:textId="2EF7085F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47AF03F" w14:textId="0BF6DC71" w:rsidR="007E03E6" w:rsidRPr="00DF0B40" w:rsidRDefault="007E03E6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</w:p>
    <w:p w14:paraId="2D0FBD28" w14:textId="77777777" w:rsidR="006A2CE5" w:rsidRPr="00DF0B40" w:rsidRDefault="006A2CE5" w:rsidP="00B52A8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D201F02" w14:textId="15D99549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BF00BA8" w14:textId="77777777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E1778AE" w14:textId="27613B28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C8E2812" w14:textId="003D4D08" w:rsidR="004454C8" w:rsidRPr="00DF0B40" w:rsidRDefault="00613D33" w:rsidP="00613D33">
      <w:pPr>
        <w:tabs>
          <w:tab w:val="left" w:pos="4145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14:paraId="5AFE41BD" w14:textId="77777777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D437946" w14:textId="7645DAF8" w:rsidR="004454C8" w:rsidRPr="00DF0B40" w:rsidRDefault="004454C8" w:rsidP="004454C8">
      <w:pPr>
        <w:tabs>
          <w:tab w:val="left" w:pos="4232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ab/>
      </w:r>
    </w:p>
    <w:p w14:paraId="1B65FDC2" w14:textId="04BAB7DD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F8C8BE6" w14:textId="77777777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C6D59D4" w14:textId="45B95C6A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21E33EA" w14:textId="0D843735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9F0AC0A" w14:textId="570F7E14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1F14F75" w14:textId="341B8ABB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4B37713" w14:textId="78BB21DE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82DCE07" w14:textId="4438676A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6931BA1E" w14:textId="7ECE58AB" w:rsidR="004454C8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A3A0B92" w14:textId="77777777" w:rsidR="009F0C53" w:rsidRPr="00DF0B40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08DF92F6" w14:textId="77777777" w:rsidR="009F0C53" w:rsidRPr="00DF0B40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B4CA8DD" w14:textId="77777777" w:rsidR="009F0C53" w:rsidRPr="00DF0B40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6019B746" w14:textId="77777777" w:rsidR="009F0C53" w:rsidRPr="00DF0B40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651D57D6" w14:textId="77777777" w:rsidR="009F0C53" w:rsidRPr="00DF0B40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F4F6920" w14:textId="77777777" w:rsidR="009F0C53" w:rsidRPr="00DF0B40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C136CA6" w14:textId="77777777" w:rsidR="009F0C53" w:rsidRPr="00DF0B40" w:rsidRDefault="009F0C53" w:rsidP="00EF6EC5">
      <w:pPr>
        <w:spacing w:after="0" w:line="24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p w14:paraId="363C682D" w14:textId="77777777" w:rsidR="009F0C53" w:rsidRPr="00DF0B40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1F094DD9" w14:textId="77777777" w:rsidR="009F0C53" w:rsidRPr="00DF0B40" w:rsidRDefault="009F0C53" w:rsidP="007E03E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14:paraId="4FD87DC6" w14:textId="467559F8" w:rsidR="00B52A84" w:rsidRPr="00DF0B40" w:rsidRDefault="004454C8" w:rsidP="007E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hAnsi="Times New Roman" w:cs="Times New Roman"/>
          <w:sz w:val="32"/>
          <w:szCs w:val="32"/>
          <w:lang w:val="uk-UA"/>
        </w:rPr>
        <w:t>3.</w:t>
      </w:r>
      <w:r w:rsidR="00B52A84" w:rsidRPr="00DF0B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52A84" w:rsidRPr="00DF0B40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proofErr w:type="spellStart"/>
      <w:r w:rsidR="00B52A84" w:rsidRPr="00DF0B40">
        <w:rPr>
          <w:rFonts w:ascii="Times New Roman" w:hAnsi="Times New Roman" w:cs="Times New Roman"/>
          <w:b/>
          <w:sz w:val="32"/>
          <w:szCs w:val="32"/>
        </w:rPr>
        <w:t>оказники</w:t>
      </w:r>
      <w:proofErr w:type="spellEnd"/>
      <w:r w:rsidR="00B52A84"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52A84" w:rsidRPr="00DF0B40">
        <w:rPr>
          <w:rFonts w:ascii="Times New Roman" w:hAnsi="Times New Roman" w:cs="Times New Roman"/>
          <w:b/>
          <w:sz w:val="32"/>
          <w:szCs w:val="32"/>
        </w:rPr>
        <w:t>надходження</w:t>
      </w:r>
      <w:proofErr w:type="spellEnd"/>
      <w:r w:rsidR="00B52A84"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2A84" w:rsidRPr="00DF0B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</w:t>
      </w:r>
      <w:r w:rsidR="00B52A84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розгляд судових </w:t>
      </w:r>
      <w:r w:rsidR="00034DE1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прав </w:t>
      </w:r>
      <w:r w:rsidR="00B52A84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цивільного провадження.</w:t>
      </w:r>
    </w:p>
    <w:p w14:paraId="120268B7" w14:textId="7C0672F6" w:rsidR="00DB66B5" w:rsidRPr="00DF0B40" w:rsidRDefault="00DB66B5" w:rsidP="00956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0177F0BA" w14:textId="4041E84F" w:rsidR="00DB66B5" w:rsidRPr="00DF0B40" w:rsidRDefault="00DB66B5" w:rsidP="00692726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 20</w:t>
      </w:r>
      <w:r w:rsidR="004D17C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4D17C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році в провадженні судів перебувало </w:t>
      </w:r>
      <w:r w:rsidR="004D6C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554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8210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16954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 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 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позовного провадження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що на</w:t>
      </w:r>
      <w:r w:rsidR="004D6C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% 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біль</w:t>
      </w:r>
      <w:r w:rsidR="009358A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ше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ніж у попередньому періоді.</w:t>
      </w:r>
    </w:p>
    <w:p w14:paraId="6BB2023E" w14:textId="21D85AE3" w:rsidR="007E03E6" w:rsidRPr="00DF0B40" w:rsidRDefault="00DB66B5" w:rsidP="009F0C53">
      <w:pPr>
        <w:spacing w:after="6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Загальна кількість справ, провадження яких закінчено, склала </w:t>
      </w:r>
      <w:r w:rsidR="00554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13703</w:t>
      </w:r>
      <w:r w:rsidR="00A8020F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11896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9E246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з яких: </w:t>
      </w:r>
      <w:r w:rsidR="00554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11978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10417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розглянуто з ухваленням рішення, (із них з задоволенням позову – </w:t>
      </w:r>
      <w:r w:rsidR="00554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11161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="00A8020F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554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440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351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-20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49765E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проваджен</w:t>
      </w:r>
      <w:r w:rsidR="00C530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ь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закрито; </w:t>
      </w:r>
      <w:r w:rsidR="00554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1178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(1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025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із залишенням заяви без розгляду; </w:t>
      </w:r>
      <w:r w:rsidR="004D6C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="00554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4D17CD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9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3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 </w:t>
      </w:r>
      <w:r w:rsidR="0013491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провадження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передано за підсудністю в інші суди, що відображено в </w:t>
      </w: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діаграмі № 4</w:t>
      </w:r>
      <w:r w:rsidR="00F87658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</w:t>
      </w:r>
    </w:p>
    <w:p w14:paraId="36A48A8B" w14:textId="331CA261" w:rsidR="00DB66B5" w:rsidRPr="00DF0B40" w:rsidRDefault="00DB66B5" w:rsidP="006A2CE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Діаграма №4</w:t>
      </w:r>
    </w:p>
    <w:p w14:paraId="4E16BB16" w14:textId="53DDB03D" w:rsidR="00DB66B5" w:rsidRPr="00DF0B40" w:rsidRDefault="004454C8" w:rsidP="004454C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2020 рік      </w:t>
      </w:r>
      <w:r w:rsidR="00DB66B5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                                            </w:t>
      </w:r>
    </w:p>
    <w:p w14:paraId="59140E16" w14:textId="2BFB5063" w:rsidR="00DB66B5" w:rsidRPr="00DF0B40" w:rsidRDefault="004454C8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8480" behindDoc="1" locked="0" layoutInCell="1" allowOverlap="1" wp14:anchorId="311F2565" wp14:editId="27C94BE8">
            <wp:simplePos x="0" y="0"/>
            <wp:positionH relativeFrom="page">
              <wp:posOffset>492981</wp:posOffset>
            </wp:positionH>
            <wp:positionV relativeFrom="paragraph">
              <wp:posOffset>4694</wp:posOffset>
            </wp:positionV>
            <wp:extent cx="6570345" cy="2289976"/>
            <wp:effectExtent l="0" t="0" r="1905" b="15240"/>
            <wp:wrapNone/>
            <wp:docPr id="11" name="Діаграма 1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D98AA74-51C3-4E4B-9896-CAE4DA844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6B5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</w:t>
      </w:r>
    </w:p>
    <w:p w14:paraId="716D4CB0" w14:textId="2CFA16A1" w:rsidR="004F0E6E" w:rsidRPr="00DF0B40" w:rsidRDefault="004F0E6E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0923EEF5" w14:textId="77777777" w:rsidR="009516D6" w:rsidRPr="00DF0B40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292D996" w14:textId="77777777" w:rsidR="009516D6" w:rsidRPr="00DF0B40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16B22C42" w14:textId="77777777" w:rsidR="009516D6" w:rsidRPr="00DF0B40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C588E82" w14:textId="77777777" w:rsidR="009516D6" w:rsidRPr="00DF0B40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C5FE358" w14:textId="77777777" w:rsidR="009516D6" w:rsidRPr="00DF0B40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05A1AA2C" w14:textId="77777777" w:rsidR="009516D6" w:rsidRPr="00DF0B40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260A0F8F" w14:textId="77777777" w:rsidR="009516D6" w:rsidRPr="00DF0B40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B03B5EA" w14:textId="77777777" w:rsidR="009516D6" w:rsidRPr="00DF0B40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0866D177" w14:textId="77777777" w:rsidR="009516D6" w:rsidRPr="00DF0B40" w:rsidRDefault="009516D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B7E74A8" w14:textId="77777777" w:rsidR="009516D6" w:rsidRPr="00DF0B40" w:rsidRDefault="009516D6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A53D199" w14:textId="77777777" w:rsidR="004454C8" w:rsidRPr="00DF0B40" w:rsidRDefault="004454C8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6D4E343C" w14:textId="57C80202" w:rsidR="009516D6" w:rsidRPr="00DF0B40" w:rsidRDefault="004454C8" w:rsidP="0044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20</w:t>
      </w:r>
      <w:r w:rsidR="00EF6EC5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21</w:t>
      </w:r>
      <w:r w:rsidRPr="00DF0B40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рік</w:t>
      </w:r>
    </w:p>
    <w:p w14:paraId="6CAEF43B" w14:textId="0EDC7126" w:rsidR="004454C8" w:rsidRPr="00DF0B40" w:rsidRDefault="004454C8" w:rsidP="0044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39ED8011" w14:textId="26BD9A93" w:rsidR="004454C8" w:rsidRPr="00DF0B40" w:rsidRDefault="00B94E6B" w:rsidP="00445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inline distT="0" distB="0" distL="0" distR="0" wp14:anchorId="52DFB9FD" wp14:editId="72D741D2">
            <wp:extent cx="6830171" cy="2441051"/>
            <wp:effectExtent l="0" t="0" r="8890" b="16510"/>
            <wp:docPr id="13" name="Діаграма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D98AA74-51C3-4E4B-9896-CAE4DA844F8B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6521DA3B" w14:textId="77777777" w:rsidR="004454C8" w:rsidRPr="00DF0B40" w:rsidRDefault="004454C8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</w:p>
    <w:p w14:paraId="1732DCD9" w14:textId="77777777" w:rsidR="007E03E6" w:rsidRPr="00DF0B40" w:rsidRDefault="007E03E6" w:rsidP="004F0E6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045533F" w14:textId="44FA9B8E" w:rsidR="00DB66B5" w:rsidRPr="00DF0B40" w:rsidRDefault="00DB66B5" w:rsidP="005D2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Серед розглянутих у 20</w:t>
      </w:r>
      <w:r w:rsidR="00034DE1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році – </w:t>
      </w:r>
      <w:r w:rsidR="00F15E3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13703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11896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934578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провадження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найбільшу кількість становлять спори, що виникають із сімейних правовідносин – </w:t>
      </w:r>
      <w:r w:rsidR="00F15E3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6259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7425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 із договірних право</w:t>
      </w:r>
      <w:r w:rsidR="004D6C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чинів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F15E3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3403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4065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</w:t>
      </w:r>
      <w:r w:rsidR="004D6C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із відносин спадкування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F15E3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1179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1429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що відображено в </w:t>
      </w: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діаграмі № 5.</w:t>
      </w:r>
    </w:p>
    <w:p w14:paraId="2E977AA5" w14:textId="77777777" w:rsidR="00DB66B5" w:rsidRPr="00DF0B40" w:rsidRDefault="00DB66B5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41C2CF4" w14:textId="01E693E3" w:rsidR="009F0C53" w:rsidRPr="00DF0B40" w:rsidRDefault="00DF4162" w:rsidP="00DB66B5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                                                      </w:t>
      </w:r>
      <w:r w:rsidR="005D2728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</w:t>
      </w:r>
    </w:p>
    <w:p w14:paraId="0448CF02" w14:textId="63EF7303" w:rsidR="00DB66B5" w:rsidRPr="00DF0B40" w:rsidRDefault="00DB66B5" w:rsidP="009F0C53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Діаграма №5</w:t>
      </w:r>
    </w:p>
    <w:p w14:paraId="783A22A4" w14:textId="77777777" w:rsidR="00DB66B5" w:rsidRPr="00DF0B40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Справи позовного провадження</w:t>
      </w:r>
    </w:p>
    <w:p w14:paraId="3856BAF1" w14:textId="77777777" w:rsidR="00DB66B5" w:rsidRPr="00DF0B40" w:rsidRDefault="00DB66B5" w:rsidP="005D272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23A2944" w14:textId="3C138102" w:rsidR="006A2CE5" w:rsidRPr="00DF0B40" w:rsidRDefault="005D2728" w:rsidP="007E03E6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B4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 wp14:anchorId="5348F268" wp14:editId="7DC70F75">
            <wp:extent cx="6896100" cy="3570135"/>
            <wp:effectExtent l="0" t="0" r="0" b="11430"/>
            <wp:docPr id="15" name="Діаграма 15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7890CFD2-4BFB-4D93-846A-DF99C3C8328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C4DC6C8" w14:textId="77777777" w:rsidR="006A2CE5" w:rsidRPr="00DF0B40" w:rsidRDefault="006A2CE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2ECFBF86" w14:textId="5D6640FF" w:rsidR="00692726" w:rsidRPr="00DF0B40" w:rsidRDefault="00DB66B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Протягом 20</w:t>
      </w:r>
      <w:r w:rsidR="004D17C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року в судах перебувало 1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466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( 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1276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B0400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справ 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окремого провадження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Із них розглянуто </w:t>
      </w:r>
      <w:r w:rsidR="00B0400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216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</w:t>
      </w:r>
      <w:r w:rsidR="00B0400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із </w:t>
      </w:r>
      <w:r w:rsidR="000E251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ухваленням рішення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1134</w:t>
      </w:r>
      <w:r w:rsidR="000E251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="00A8020F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B0400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задоволенням </w:t>
      </w:r>
      <w:r w:rsidR="000E251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заяви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1109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</w:t>
      </w:r>
    </w:p>
    <w:p w14:paraId="72F33B7D" w14:textId="5D83471B" w:rsidR="00DB66B5" w:rsidRPr="00DF0B40" w:rsidRDefault="00DB66B5" w:rsidP="003E15B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Справ окремого провадження судами у звітному періоді розглянуто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1216</w:t>
      </w:r>
      <w:r w:rsidR="00A8020F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проваджен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ь</w:t>
      </w:r>
      <w:r w:rsidR="009358A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1104</w:t>
      </w:r>
      <w:r w:rsidR="0049765E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Із них найбільшу кількість становлять справи про встановлення фактів, що мають юридичне значення –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836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3B180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725</w:t>
      </w:r>
      <w:r w:rsidR="0049765E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5E78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%; </w:t>
      </w:r>
      <w:r w:rsidR="002828B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 обмеження цивільної дієздатності фізичної особи, визнання фізичної особи недієздатною та поновлення цивільної дієздатності фізичної особи – </w:t>
      </w:r>
      <w:r w:rsidR="002828B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</w:t>
      </w:r>
      <w:r w:rsidR="00135DE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2828B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2828BB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(1</w:t>
      </w:r>
      <w:r w:rsidR="001B1BBF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03</w:t>
      </w:r>
      <w:r w:rsidR="002828BB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="002828B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2828BB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2828B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2828BB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="002828B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135DE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="002828B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%; справи про надання особі психіатричної допомоги у примусовому порядку –</w:t>
      </w:r>
      <w:r w:rsidR="002828B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81</w:t>
      </w:r>
      <w:r w:rsidR="002828B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2828B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</w:t>
      </w:r>
      <w:r w:rsidR="002828B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 </w:t>
      </w:r>
      <w:r w:rsidR="002828BB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(1</w:t>
      </w:r>
      <w:r w:rsidR="002828B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03</w:t>
      </w:r>
      <w:r w:rsidR="002828BB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2828BB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2020</w:t>
      </w:r>
      <w:r w:rsidR="002828BB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справи, що виникають із сімейних правовідносин –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6</w:t>
      </w:r>
      <w:r w:rsidR="001B1BBF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7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або </w:t>
      </w:r>
      <w:r w:rsidR="005E781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</w:t>
      </w:r>
      <w:r w:rsidR="002828BB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</w:t>
      </w:r>
      <w:r w:rsidR="00AB3D3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14:paraId="783E1302" w14:textId="49D081CC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 xml:space="preserve">Судами розглянуто </w:t>
      </w:r>
      <w:r w:rsidR="00C0249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</w:t>
      </w:r>
      <w:r w:rsidR="00C0249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справ про усиновлення дітей, в тому числі із ухваленням рішення – </w:t>
      </w:r>
      <w:r w:rsidR="00C0249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з них </w:t>
      </w:r>
      <w:r w:rsidR="00C0249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задоволено. Із числа задоволених рішень по усиновленню </w:t>
      </w:r>
      <w:r w:rsidR="00C0249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</w:t>
      </w:r>
      <w:r w:rsidR="00C77EC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т</w:t>
      </w:r>
      <w:r w:rsidR="00C77EC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ей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дівч</w:t>
      </w:r>
      <w:r w:rsidR="009D07C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ин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к</w:t>
      </w:r>
      <w:r w:rsidR="009D07C2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14:paraId="006C2373" w14:textId="0284EE73" w:rsidR="00DB66B5" w:rsidRPr="00DF0B40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 xml:space="preserve">В справах </w:t>
      </w:r>
      <w:r w:rsidR="005A0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цивільного судочинства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відкладено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2048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2387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справ. Із них найбільшу кількість становлять: через неявку </w:t>
      </w:r>
      <w:r w:rsidR="00C0249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одного з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учасників процесу– </w:t>
      </w:r>
      <w:r w:rsidR="00100559" w:rsidRPr="005A0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479</w:t>
      </w:r>
      <w:r w:rsidRPr="005A0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5A08C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 w:rsidRPr="005A08C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479</w:t>
      </w:r>
      <w:r w:rsidRPr="005A08C5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5A08C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 w:rsidRPr="005A08C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4D17CD" w:rsidRPr="005A08C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5A08C5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рік)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в тому. числі: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невручення судових повісток –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48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рік),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інших підстав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401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3767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4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31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</w:t>
      </w:r>
      <w:r w:rsidR="004F0E6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неявку інших учасників процесу – </w:t>
      </w:r>
      <w:r w:rsidR="00100559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="00CC2A71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6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рік).</w:t>
      </w:r>
    </w:p>
    <w:p w14:paraId="4F989FA9" w14:textId="5F104EF1" w:rsidR="00DB66B5" w:rsidRPr="00DF0B40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Протягом 20</w:t>
      </w:r>
      <w:r w:rsidR="004D17CD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року кількість справ, які відкладено понад 6 місяців до </w:t>
      </w:r>
      <w:r w:rsidR="00A8020F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 року становить </w:t>
      </w:r>
      <w:r w:rsidR="00A861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329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430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справ; понад 1 рік до 2 років – </w:t>
      </w:r>
      <w:r w:rsidR="00A861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182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320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–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</w:t>
      </w:r>
      <w:r w:rsidR="0088413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; понад 2 роки – </w:t>
      </w:r>
      <w:r w:rsidR="00A861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288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380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–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справ.</w:t>
      </w:r>
    </w:p>
    <w:p w14:paraId="21E1331F" w14:textId="5C897F80" w:rsidR="009F0C53" w:rsidRPr="00A261B7" w:rsidRDefault="00DB66B5" w:rsidP="00A26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 кінець звітного періоду залишились нерозглянутими </w:t>
      </w:r>
      <w:r w:rsidR="00A861D1" w:rsidRPr="005F4F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4757</w:t>
      </w:r>
      <w:r w:rsidR="006214E4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справ позовного та окремого провадження (без урахування клопотань) або 2</w:t>
      </w:r>
      <w:r w:rsidR="005F4F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 від усіх, що перебували в провадженні протягом 20</w:t>
      </w:r>
      <w:r w:rsidR="0013734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5F4F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року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(в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20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році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="0013025E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5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230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справ)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Слід зазначити, що </w:t>
      </w:r>
      <w:r w:rsidR="00B8450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262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</w:t>
      </w:r>
      <w:r w:rsidR="006A7EB8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5F4F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 розглянуто з порушенням встановлених ЦПК.</w:t>
      </w:r>
    </w:p>
    <w:p w14:paraId="6DCD1E05" w14:textId="77777777" w:rsidR="009F0C53" w:rsidRPr="00DF0B40" w:rsidRDefault="009F0C53" w:rsidP="00B52A8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39DA2859" w14:textId="5772E522" w:rsidR="00DB66B5" w:rsidRPr="00DF0B40" w:rsidRDefault="00956735" w:rsidP="00B52A84">
      <w:pPr>
        <w:pStyle w:val="a8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4.</w:t>
      </w:r>
      <w:r w:rsidR="00B52A84" w:rsidRPr="00DF0B40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="00B52A84" w:rsidRPr="00DF0B40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proofErr w:type="spellStart"/>
      <w:r w:rsidR="00B52A84" w:rsidRPr="00DF0B40">
        <w:rPr>
          <w:rFonts w:ascii="Times New Roman" w:hAnsi="Times New Roman" w:cs="Times New Roman"/>
          <w:b/>
          <w:sz w:val="32"/>
          <w:szCs w:val="32"/>
        </w:rPr>
        <w:t>оказники</w:t>
      </w:r>
      <w:proofErr w:type="spellEnd"/>
      <w:r w:rsidR="00B52A84"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B52A84" w:rsidRPr="00DF0B40">
        <w:rPr>
          <w:rFonts w:ascii="Times New Roman" w:hAnsi="Times New Roman" w:cs="Times New Roman"/>
          <w:b/>
          <w:sz w:val="32"/>
          <w:szCs w:val="32"/>
        </w:rPr>
        <w:t>надходження</w:t>
      </w:r>
      <w:proofErr w:type="spellEnd"/>
      <w:r w:rsidR="00B52A84"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52A84" w:rsidRPr="00DF0B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</w:t>
      </w:r>
      <w:r w:rsidR="00B52A84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розгляд судових справ адміністративного провадження. </w:t>
      </w:r>
    </w:p>
    <w:p w14:paraId="014ABB66" w14:textId="77777777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2B03DC19" w14:textId="79A14DD0" w:rsidR="00DB66B5" w:rsidRPr="00DF0B40" w:rsidRDefault="00DB66B5" w:rsidP="006927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Протягом 20</w:t>
      </w:r>
      <w:r w:rsidR="0013734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року у судах перебувало </w:t>
      </w:r>
      <w:r w:rsidR="0033755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732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724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– 20</w:t>
      </w:r>
      <w:r w:rsidR="0006185E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адміністративних позовів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Із них розглянуто – </w:t>
      </w:r>
      <w:r w:rsidR="0033755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696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повернуто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9E246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3755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залишено без розгляду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755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 відмовлено у відкритті провадження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33755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відкрито провадження </w:t>
      </w:r>
      <w:r w:rsidR="004F0E6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у</w:t>
      </w:r>
      <w:r w:rsidR="00AF2187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33755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566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14:paraId="5E805741" w14:textId="21ED38AE" w:rsidR="00AB3D3C" w:rsidRPr="00A261B7" w:rsidRDefault="00DB66B5" w:rsidP="00A261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  <w:t xml:space="preserve">Протягом року на розгляді в судах перебувало </w:t>
      </w:r>
      <w:r w:rsidR="001A71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788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справ, із них розглянуто – </w:t>
      </w:r>
      <w:r w:rsidR="001A71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619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838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- 20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рік).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Найбільшу кількість становлять: </w:t>
      </w:r>
      <w:r w:rsidR="001A71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503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або </w:t>
      </w:r>
      <w:r w:rsidR="005F4F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%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483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справ</w:t>
      </w:r>
      <w:r w:rsidR="00A737F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зі спорів з приводу забезпечення громадського порядку та безпеки; </w:t>
      </w:r>
      <w:r w:rsidR="001A71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5F4F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% </w:t>
      </w:r>
      <w:r w:rsidR="00FC30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37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- 20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</w:t>
      </w:r>
      <w:r w:rsidR="00D5545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справ</w:t>
      </w:r>
      <w:r w:rsidR="00A737F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="00D5545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 приводу регулювання містобудівної діяльності, </w:t>
      </w:r>
      <w:r w:rsidR="001A710D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21</w:t>
      </w:r>
      <w:r w:rsidR="00FC30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5F4F7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="00FC30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% </w:t>
      </w:r>
      <w:r w:rsidR="00FC308A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30</w:t>
      </w:r>
      <w:r w:rsidR="00FC308A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="00FC30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FC308A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FC308A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="00034DE1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="00FD4121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справ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</w:t>
      </w:r>
      <w:r w:rsidR="00FD4121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з приводу </w:t>
      </w:r>
      <w:r w:rsidR="00FC308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реалізації </w:t>
      </w:r>
      <w:r w:rsidR="00D5545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державної політики </w:t>
      </w:r>
      <w:r w:rsidR="00E3126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у сфері </w:t>
      </w:r>
      <w:r w:rsidR="00D5545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економіки</w:t>
      </w:r>
      <w:r w:rsidR="00FD4121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;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діаграма №6.</w:t>
      </w:r>
    </w:p>
    <w:p w14:paraId="7CA033F3" w14:textId="22547D05" w:rsidR="00DB66B5" w:rsidRPr="00DF0B40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Діаграма №6</w:t>
      </w:r>
    </w:p>
    <w:p w14:paraId="28F5DB3A" w14:textId="41FB901C" w:rsidR="00DB66B5" w:rsidRPr="00DF0B40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Справи адміністративного провадження</w:t>
      </w:r>
    </w:p>
    <w:p w14:paraId="7AE813E9" w14:textId="6B3FA845" w:rsidR="00DB66B5" w:rsidRPr="00DF0B40" w:rsidRDefault="00D42DB4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9504" behindDoc="1" locked="0" layoutInCell="1" allowOverlap="1" wp14:anchorId="6E7F43B4" wp14:editId="2A8F5872">
            <wp:simplePos x="0" y="0"/>
            <wp:positionH relativeFrom="margin">
              <wp:align>left</wp:align>
            </wp:positionH>
            <wp:positionV relativeFrom="paragraph">
              <wp:posOffset>207866</wp:posOffset>
            </wp:positionV>
            <wp:extent cx="7028815" cy="3498574"/>
            <wp:effectExtent l="0" t="0" r="635" b="6985"/>
            <wp:wrapNone/>
            <wp:docPr id="16" name="Діаграма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C983BEA3-111F-421B-B52E-49F97226389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0DBAA" w14:textId="6BBDCBC8" w:rsidR="006A2CE5" w:rsidRPr="00DF0B40" w:rsidRDefault="006A2CE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1D07D2B7" w14:textId="77777777" w:rsidR="006A2CE5" w:rsidRPr="00DF0B40" w:rsidRDefault="006A2CE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502B74AC" w14:textId="77777777" w:rsidR="006A2CE5" w:rsidRPr="00DF0B40" w:rsidRDefault="006A2CE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2E27BB2F" w14:textId="259D0149" w:rsidR="006A2CE5" w:rsidRPr="00DF0B40" w:rsidRDefault="006A2CE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4544C59A" w14:textId="419405E3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7A5D8261" w14:textId="77777777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05FB07B" w14:textId="77777777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229D55FB" w14:textId="77777777" w:rsidR="005D2728" w:rsidRPr="00DF0B40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82AE8D0" w14:textId="77777777" w:rsidR="005D2728" w:rsidRPr="00DF0B40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60352C95" w14:textId="77777777" w:rsidR="005D2728" w:rsidRPr="00DF0B40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0E5699E" w14:textId="77777777" w:rsidR="005D2728" w:rsidRPr="00DF0B40" w:rsidRDefault="005D2728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0985FE15" w14:textId="5327F330" w:rsidR="009F0C53" w:rsidRPr="00DF0B40" w:rsidRDefault="00A261B7" w:rsidP="00A261B7">
      <w:pPr>
        <w:tabs>
          <w:tab w:val="left" w:pos="1841"/>
        </w:tabs>
        <w:spacing w:after="60" w:line="264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14:paraId="31840ED6" w14:textId="77777777" w:rsidR="009F0C53" w:rsidRPr="00DF0B40" w:rsidRDefault="009F0C53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22025898" w14:textId="125B1644" w:rsidR="00DB66B5" w:rsidRPr="00DF0B40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 20</w:t>
      </w:r>
      <w:r w:rsidR="0013734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році розглянуто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619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 адміністративного провадження, з них: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553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 із прийняттям постанови (із задоволенням позову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421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), із закриттям провадження у справі – </w:t>
      </w:r>
      <w:r w:rsidR="00824524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0A2C4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залишенням заяви без розгляду –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передано в інші суди –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 </w:t>
      </w:r>
    </w:p>
    <w:p w14:paraId="4F0D8713" w14:textId="6A217A57" w:rsidR="00DB66B5" w:rsidRPr="00DF0B40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Залишилось нерозглянутих на кінець 20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року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169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справ адміністративного провадження, із них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10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проваджень, яких </w:t>
      </w:r>
      <w:proofErr w:type="spellStart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зупинено</w:t>
      </w:r>
      <w:proofErr w:type="spellEnd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14:paraId="5503C529" w14:textId="1FE138DD" w:rsidR="00DB66B5" w:rsidRPr="00DF0B40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 справах адміністративного провадження відкладено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9C501C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</w:t>
      </w:r>
      <w:r w:rsidR="00137349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8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-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="0039371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</w:t>
      </w:r>
      <w:r w:rsidR="00BC6496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Основними причинами відкладення адміністративних справ є: неявка однієї із сторін або будь-кого з інших учасників процесу, що беруть участь у справі –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(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="009C501C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9C501C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рік</w:t>
      </w:r>
      <w:r w:rsidR="009C501C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),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в тому числі: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невручення судових повісток –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рік),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інших підстав –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9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рік).</w:t>
      </w:r>
    </w:p>
    <w:p w14:paraId="0CAF86E5" w14:textId="5E1076E2" w:rsidR="00DB66B5" w:rsidRPr="00DF0B40" w:rsidRDefault="00DB66B5" w:rsidP="00C830CA">
      <w:pPr>
        <w:spacing w:after="60" w:line="264" w:lineRule="auto"/>
        <w:ind w:firstLine="708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 судах протягом 20</w:t>
      </w:r>
      <w:r w:rsidR="0013734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року кількість справ, розгляд яких відкладено понад 6 місяців до 1 року становить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справ, понад 1 рік до 2 років –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понад </w:t>
      </w:r>
      <w:r w:rsidR="00C830C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 2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роки – </w:t>
      </w:r>
      <w:r w:rsidR="005F1D87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.</w:t>
      </w:r>
    </w:p>
    <w:p w14:paraId="30DAD1DD" w14:textId="401E8BC7" w:rsidR="006A2CE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ab/>
      </w:r>
    </w:p>
    <w:p w14:paraId="6EE5347F" w14:textId="77777777" w:rsidR="007E03E6" w:rsidRPr="00DF0B40" w:rsidRDefault="007E03E6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B1DA09" w14:textId="77777777" w:rsidR="00956735" w:rsidRPr="00DF0B40" w:rsidRDefault="00B52A84" w:rsidP="00956735">
      <w:pPr>
        <w:pStyle w:val="a8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hAnsi="Times New Roman" w:cs="Times New Roman"/>
          <w:b/>
          <w:sz w:val="32"/>
          <w:szCs w:val="32"/>
          <w:lang w:val="uk-UA"/>
        </w:rPr>
        <w:t>П</w:t>
      </w:r>
      <w:proofErr w:type="spellStart"/>
      <w:r w:rsidRPr="00DF0B40">
        <w:rPr>
          <w:rFonts w:ascii="Times New Roman" w:hAnsi="Times New Roman" w:cs="Times New Roman"/>
          <w:b/>
          <w:sz w:val="32"/>
          <w:szCs w:val="32"/>
        </w:rPr>
        <w:t>оказники</w:t>
      </w:r>
      <w:proofErr w:type="spellEnd"/>
      <w:r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b/>
          <w:sz w:val="32"/>
          <w:szCs w:val="32"/>
        </w:rPr>
        <w:t>надходження</w:t>
      </w:r>
      <w:proofErr w:type="spellEnd"/>
      <w:r w:rsidRPr="00DF0B4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F0B40">
        <w:rPr>
          <w:rFonts w:ascii="Times New Roman" w:hAnsi="Times New Roman" w:cs="Times New Roman"/>
          <w:b/>
          <w:sz w:val="32"/>
          <w:szCs w:val="32"/>
          <w:lang w:val="uk-UA"/>
        </w:rPr>
        <w:t xml:space="preserve">та 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розгляд судових справ про адміністративні правопорушення</w:t>
      </w:r>
      <w:r w:rsidR="00956735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.</w:t>
      </w:r>
    </w:p>
    <w:p w14:paraId="23066170" w14:textId="77777777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6D4DB2E" w14:textId="5EA4CD47" w:rsidR="00E050B4" w:rsidRPr="00DF0B40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Впродовж 20</w:t>
      </w:r>
      <w:r w:rsidR="00137349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</w:t>
      </w:r>
      <w:r w:rsidR="0018704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E80171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року на розгляд до судів надійшло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24483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20340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матеріал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 </w:t>
      </w:r>
      <w:r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адміністративне правопорушення. </w:t>
      </w:r>
    </w:p>
    <w:p w14:paraId="6EE95737" w14:textId="7363F8BA" w:rsidR="00DB66B5" w:rsidRPr="00DF0B40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Повернуто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1786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протокол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ів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про адміністративне правопорушення</w:t>
      </w:r>
      <w:r w:rsidR="00FB30B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FB30BE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(2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091</w:t>
      </w:r>
      <w:r w:rsidR="00FB30B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="00FB30BE" w:rsidRPr="00DF0B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="00FB30BE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FB30BE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із них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1526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1961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повернуто органам, що склали протоколи про вчинення адміністративних правопорушень для неналежного оформлення.</w:t>
      </w:r>
    </w:p>
    <w:p w14:paraId="08C3BB37" w14:textId="0F64C021" w:rsidR="00E050B4" w:rsidRPr="00DF0B40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За результатами розгляду протоколів про адміністративні правопорушення розглянуто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20076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17429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-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справ відносно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20087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осіб. </w:t>
      </w:r>
      <w:r w:rsidR="00E050B4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ab/>
      </w:r>
    </w:p>
    <w:p w14:paraId="57F1E58D" w14:textId="4B43F5B4" w:rsidR="00DB66B5" w:rsidRPr="00DF0B40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Стосовно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8344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7909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рік)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</w:t>
      </w:r>
      <w:r w:rsidR="004445E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і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 провадження в справі закрито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,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="00173093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530</w:t>
      </w:r>
      <w:r w:rsidRPr="00DF0B40">
        <w:rPr>
          <w:rFonts w:ascii="Times New Roman" w:eastAsia="Times New Roman" w:hAnsi="Times New Roman" w:cs="Times New Roman"/>
          <w:color w:val="FF0000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в зв’язку з </w:t>
      </w:r>
      <w:proofErr w:type="spellStart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малозначимістю</w:t>
      </w:r>
      <w:proofErr w:type="spellEnd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вчиненого правопорушення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1212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="0033777C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20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рік),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стосовно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4000</w:t>
      </w:r>
      <w:r w:rsidR="002D327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5011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137349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рік)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осіб закрито у зв’язку із закінченням строків, передбачених статтею 38 Кодексу України про адміністративні правопорушення,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2713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– звільнено від адміністративної відповідальності за відсутністю складу правопорушення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</w:t>
      </w:r>
      <w:r w:rsidR="00137349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1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212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="00137349"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рік).</w:t>
      </w:r>
    </w:p>
    <w:p w14:paraId="76003161" w14:textId="4FEFF295" w:rsidR="00DB66B5" w:rsidRPr="00DF0B40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 адміністративної відповідальності притягнуто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11562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(що на </w:t>
      </w:r>
      <w:r w:rsidR="0096183C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2151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ос</w:t>
      </w:r>
      <w:r w:rsidR="0096183C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о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б</w:t>
      </w:r>
      <w:r w:rsidR="0096183C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у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</w:t>
      </w:r>
      <w:r w:rsidR="0096183C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біль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ше, в порівнянні з попереднім періодом)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. Аналіз застосованих судами адміністративних стягнень свідчить, що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10693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427F4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9</w:t>
      </w:r>
      <w:r w:rsidR="009618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 ос</w:t>
      </w:r>
      <w:r w:rsidR="00E2329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, притягнутих до адміністративної відповідальності –оштрафовано;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70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19069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lastRenderedPageBreak/>
        <w:t>0,</w:t>
      </w:r>
      <w:r w:rsidR="009618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 правопорушників </w:t>
      </w:r>
      <w:proofErr w:type="spellStart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позбавлено</w:t>
      </w:r>
      <w:proofErr w:type="spellEnd"/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спеціального права, адміністративний арешт – 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52</w:t>
      </w:r>
      <w:r w:rsidR="002D327E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або </w:t>
      </w:r>
      <w:r w:rsidR="0019069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0,</w:t>
      </w:r>
      <w:r w:rsidR="009618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4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%, громадські роботи – </w:t>
      </w:r>
      <w:r w:rsidR="00036E51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80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або </w:t>
      </w:r>
      <w:r w:rsidR="009618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</w:t>
      </w:r>
      <w:r w:rsidR="0019069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%.</w:t>
      </w:r>
    </w:p>
    <w:p w14:paraId="00734A4E" w14:textId="6713E8CC" w:rsidR="00DB66B5" w:rsidRPr="00DF0B40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Адміністративне стягнення (основне і додаткове) у вигляді конфіскації предмета, який став знаряддям вчинення або безпосереднім об’єктом адміністративного правопорушення, застосовано до 1</w:t>
      </w:r>
      <w:r w:rsidR="00A21DD1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33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осіб. </w:t>
      </w:r>
    </w:p>
    <w:p w14:paraId="61F653BF" w14:textId="28A4C086" w:rsidR="00E050B4" w:rsidRPr="00DF0B40" w:rsidRDefault="00DB66B5" w:rsidP="00E050B4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Протягом року на розгляд до судів надійшло </w:t>
      </w:r>
      <w:r w:rsidR="00173093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27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 про адміністративні правопорушення за ст.173 КУпАП. Із них: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182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справ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було повернуто,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153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– для належного оформлення,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2238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 розглянуто і накладено стягнення. </w:t>
      </w:r>
    </w:p>
    <w:p w14:paraId="10E16415" w14:textId="6104D826" w:rsidR="009F0C53" w:rsidRPr="00B37F41" w:rsidRDefault="00DB66B5" w:rsidP="00B37F41">
      <w:pPr>
        <w:spacing w:after="8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Основним стягненням було накладення штрафу щодо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713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осіб. Щодо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1481</w:t>
      </w:r>
      <w:r w:rsidR="00E2329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ос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о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б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справ</w:t>
      </w:r>
      <w:r w:rsidR="001C3D2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и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було закрито,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EF3A5C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що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до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306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осіб справи закрито за відсутністю події складу адміністративного правопорушення. Динаміку правопорушень за ст.173 КУпАП показано в </w:t>
      </w: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діаграмі №</w:t>
      </w: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7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.</w:t>
      </w:r>
      <w:r w:rsidR="00CA3112" w:rsidRPr="00DF0B4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         </w:t>
      </w:r>
    </w:p>
    <w:p w14:paraId="0C27E9C1" w14:textId="77777777" w:rsidR="009F0C53" w:rsidRPr="00DF0B40" w:rsidRDefault="009F0C53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</w:p>
    <w:p w14:paraId="5E2D1B05" w14:textId="31C921F1" w:rsidR="00DB66B5" w:rsidRPr="00DF0B40" w:rsidRDefault="00D42DB4" w:rsidP="006A2CE5">
      <w:pPr>
        <w:spacing w:after="0" w:line="240" w:lineRule="auto"/>
        <w:ind w:left="7788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 xml:space="preserve">      </w:t>
      </w:r>
      <w:r w:rsidR="00DB66B5"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Діаграма №</w:t>
      </w:r>
      <w:r w:rsidR="00DB66B5" w:rsidRPr="00DF0B40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7</w:t>
      </w:r>
    </w:p>
    <w:p w14:paraId="03727360" w14:textId="77777777" w:rsidR="00DB66B5" w:rsidRPr="00DF0B40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i/>
          <w:sz w:val="32"/>
          <w:szCs w:val="32"/>
          <w:lang w:val="uk-UA" w:eastAsia="ru-RU"/>
        </w:rPr>
        <w:t>Динаміка правопорушень за ст.173 КУпАП</w:t>
      </w:r>
    </w:p>
    <w:p w14:paraId="58C0D435" w14:textId="77777777" w:rsidR="00DB66B5" w:rsidRPr="00DF0B40" w:rsidRDefault="00DB66B5" w:rsidP="00DB66B5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14:paraId="7899E724" w14:textId="1277A903" w:rsidR="00DB66B5" w:rsidRPr="00DF0B40" w:rsidRDefault="00D42DB4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 wp14:anchorId="139B802E" wp14:editId="34E751A4">
            <wp:extent cx="6869927" cy="3482671"/>
            <wp:effectExtent l="0" t="0" r="7620" b="3810"/>
            <wp:docPr id="17" name="Діаграма 17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a16="http://schemas.microsoft.com/office/drawing/2014/main" id="{11799681-892A-4140-8C74-471464C1127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434553E1" w14:textId="77777777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55AFA5B2" w14:textId="77777777" w:rsidR="00DB66B5" w:rsidRPr="00DF0B40" w:rsidRDefault="00DB66B5" w:rsidP="00DB66B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4E747807" w14:textId="0E0FE28D" w:rsidR="00DB66B5" w:rsidRPr="00DF0B40" w:rsidRDefault="00DB66B5" w:rsidP="00E050B4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За</w:t>
      </w:r>
      <w:r w:rsidRPr="00DF0B4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вчинення адміністративних правопорушень судами накладено стягнення у вигляді штрафу на суму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48552309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грн., з яких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11849724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грн. сплачено в добровільному порядку.</w:t>
      </w:r>
    </w:p>
    <w:p w14:paraId="08EF32FB" w14:textId="0ADA95A8" w:rsidR="006A2CE5" w:rsidRDefault="00DB66B5" w:rsidP="00231C2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Через вчинення правопорушень завдано матеріальної шкоди на суму                 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20572</w:t>
      </w:r>
      <w:r w:rsidR="00190696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грн. Добровільно відшкодовано </w:t>
      </w:r>
      <w:r w:rsidR="007A675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13475</w:t>
      </w:r>
      <w:r w:rsidR="00997C1A"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грн., що становить </w:t>
      </w:r>
      <w:r w:rsidR="0096183C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65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 xml:space="preserve"> % від загальної суми, завданих збитків 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(в 20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20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році </w:t>
      </w:r>
      <w:r w:rsidRPr="00DF0B40"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  <w:t>–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 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9419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 xml:space="preserve"> грн. </w:t>
      </w:r>
      <w:r w:rsidR="001071D1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44</w:t>
      </w:r>
      <w:r w:rsidRPr="00DF0B40">
        <w:rPr>
          <w:rFonts w:ascii="Times New Roman" w:eastAsia="Times New Roman" w:hAnsi="Times New Roman" w:cs="Times New Roman"/>
          <w:i/>
          <w:sz w:val="32"/>
          <w:szCs w:val="32"/>
          <w:lang w:val="uk-UA" w:eastAsia="ru-RU"/>
        </w:rPr>
        <w:t>%).</w:t>
      </w:r>
    </w:p>
    <w:p w14:paraId="7EABF285" w14:textId="77777777" w:rsidR="00231C22" w:rsidRPr="00231C22" w:rsidRDefault="00231C22" w:rsidP="00231C22">
      <w:pPr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</w:p>
    <w:p w14:paraId="38D1F69D" w14:textId="77777777" w:rsidR="00F56415" w:rsidRPr="00DF0B40" w:rsidRDefault="00F56415" w:rsidP="00D42DB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</w:pPr>
    </w:p>
    <w:p w14:paraId="5FAEE3ED" w14:textId="024D2812" w:rsidR="00F6393A" w:rsidRPr="00DF0B40" w:rsidRDefault="00B0115A" w:rsidP="00D42DB4">
      <w:pPr>
        <w:pStyle w:val="a8"/>
        <w:spacing w:after="0" w:line="240" w:lineRule="auto"/>
        <w:ind w:left="0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6.</w:t>
      </w:r>
      <w:r w:rsidR="006A2CE5" w:rsidRPr="00DF0B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 xml:space="preserve"> </w:t>
      </w:r>
      <w:r w:rsidR="00DB66B5" w:rsidRPr="00DF0B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val="uk-UA" w:eastAsia="ru-RU"/>
        </w:rPr>
        <w:t>Висновок</w:t>
      </w:r>
    </w:p>
    <w:p w14:paraId="536AD862" w14:textId="543ED9A1" w:rsidR="004313D6" w:rsidRPr="00DF0B40" w:rsidRDefault="00A737FE" w:rsidP="00E050B4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</w:pPr>
      <w:r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Отже, в 202</w:t>
      </w:r>
      <w:r w:rsidR="0018704C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1</w:t>
      </w:r>
      <w:r w:rsidR="00DB66B5"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році у судах спостерігається тенденція щодо з</w:t>
      </w:r>
      <w:r w:rsidR="00E865E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біль</w:t>
      </w:r>
      <w:r w:rsidR="00DB66B5"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шення кількості судових справ, матеріалів. Так, протягом року перебувало </w:t>
      </w:r>
      <w:r w:rsidR="00E865E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23208 </w:t>
      </w:r>
      <w:r w:rsidR="00DB66B5"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кримінальних проваджень, справ та матеріалів, </w:t>
      </w:r>
      <w:r w:rsidR="00E865E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996</w:t>
      </w:r>
      <w:r w:rsidR="00DB66B5"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адміністративних справ, матеріалів, </w:t>
      </w:r>
      <w:r w:rsidR="00792702"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2</w:t>
      </w:r>
      <w:r w:rsidR="00E865E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9399</w:t>
      </w:r>
      <w:r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</w:t>
      </w:r>
      <w:r w:rsidR="00DB66B5"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цивільних справ, матеріалів та </w:t>
      </w:r>
      <w:r w:rsidR="00E865ED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24628</w:t>
      </w:r>
      <w:r w:rsidR="00DB66B5"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 xml:space="preserve"> справ про адміністративні правопорушення</w:t>
      </w:r>
      <w:r w:rsidR="00E050B4" w:rsidRPr="00DF0B40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ru-RU"/>
        </w:rPr>
        <w:t>.</w:t>
      </w:r>
    </w:p>
    <w:p w14:paraId="44FC06E9" w14:textId="77777777" w:rsidR="002A7921" w:rsidRPr="00DF0B40" w:rsidRDefault="00F6393A" w:rsidP="002A7921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0B40">
        <w:rPr>
          <w:rFonts w:ascii="Times New Roman" w:hAnsi="Times New Roman" w:cs="Times New Roman"/>
          <w:sz w:val="32"/>
          <w:szCs w:val="32"/>
        </w:rPr>
        <w:t xml:space="preserve">Проведений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огляд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є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підставою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висновку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про те,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r w:rsidR="00BD7839" w:rsidRPr="00DF0B40">
        <w:rPr>
          <w:rFonts w:ascii="Times New Roman" w:hAnsi="Times New Roman" w:cs="Times New Roman"/>
          <w:sz w:val="32"/>
          <w:szCs w:val="32"/>
          <w:lang w:val="uk-UA"/>
        </w:rPr>
        <w:t xml:space="preserve">місцеві </w:t>
      </w:r>
      <w:r w:rsidR="00A737FE" w:rsidRPr="00DF0B40">
        <w:rPr>
          <w:rFonts w:ascii="Times New Roman" w:hAnsi="Times New Roman" w:cs="Times New Roman"/>
          <w:sz w:val="32"/>
          <w:szCs w:val="32"/>
          <w:lang w:val="uk-UA"/>
        </w:rPr>
        <w:t xml:space="preserve">загальні </w:t>
      </w:r>
      <w:r w:rsidRPr="00DF0B40">
        <w:rPr>
          <w:rFonts w:ascii="Times New Roman" w:hAnsi="Times New Roman" w:cs="Times New Roman"/>
          <w:sz w:val="32"/>
          <w:szCs w:val="32"/>
        </w:rPr>
        <w:t>суд</w:t>
      </w:r>
      <w:r w:rsidRPr="00DF0B40">
        <w:rPr>
          <w:rFonts w:ascii="Times New Roman" w:hAnsi="Times New Roman" w:cs="Times New Roman"/>
          <w:sz w:val="32"/>
          <w:szCs w:val="32"/>
          <w:lang w:val="uk-UA"/>
        </w:rPr>
        <w:t>и</w:t>
      </w:r>
      <w:r w:rsidRPr="00DF0B4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цілому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забезпечи</w:t>
      </w:r>
      <w:r w:rsidRPr="00DF0B40">
        <w:rPr>
          <w:rFonts w:ascii="Times New Roman" w:hAnsi="Times New Roman" w:cs="Times New Roman"/>
          <w:sz w:val="32"/>
          <w:szCs w:val="32"/>
          <w:lang w:val="uk-UA"/>
        </w:rPr>
        <w:t>ли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правильне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і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своєчасне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вирішення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переважної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більшості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DF0B40">
        <w:rPr>
          <w:rFonts w:ascii="Times New Roman" w:hAnsi="Times New Roman" w:cs="Times New Roman"/>
          <w:sz w:val="32"/>
          <w:szCs w:val="32"/>
        </w:rPr>
        <w:t>судових</w:t>
      </w:r>
      <w:proofErr w:type="spellEnd"/>
      <w:r w:rsidRPr="00DF0B40">
        <w:rPr>
          <w:rFonts w:ascii="Times New Roman" w:hAnsi="Times New Roman" w:cs="Times New Roman"/>
          <w:sz w:val="32"/>
          <w:szCs w:val="32"/>
        </w:rPr>
        <w:t xml:space="preserve"> справ.</w:t>
      </w:r>
      <w:r w:rsidR="00BD7839"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921" w:rsidRPr="00DF0B40">
        <w:rPr>
          <w:rFonts w:ascii="Times New Roman" w:hAnsi="Times New Roman" w:cs="Times New Roman"/>
          <w:sz w:val="32"/>
          <w:szCs w:val="32"/>
        </w:rPr>
        <w:t>Відсоток</w:t>
      </w:r>
      <w:proofErr w:type="spellEnd"/>
      <w:r w:rsidR="002A7921"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921" w:rsidRPr="00DF0B40">
        <w:rPr>
          <w:rFonts w:ascii="Times New Roman" w:hAnsi="Times New Roman" w:cs="Times New Roman"/>
          <w:sz w:val="32"/>
          <w:szCs w:val="32"/>
        </w:rPr>
        <w:t>розгляду</w:t>
      </w:r>
      <w:proofErr w:type="spellEnd"/>
      <w:r w:rsidR="002A7921" w:rsidRPr="00DF0B40">
        <w:rPr>
          <w:rFonts w:ascii="Times New Roman" w:hAnsi="Times New Roman" w:cs="Times New Roman"/>
          <w:sz w:val="32"/>
          <w:szCs w:val="32"/>
        </w:rPr>
        <w:t xml:space="preserve"> </w:t>
      </w:r>
      <w:r w:rsidR="002A7921" w:rsidRPr="00DF0B40">
        <w:rPr>
          <w:rFonts w:ascii="Times New Roman" w:hAnsi="Times New Roman" w:cs="Times New Roman"/>
          <w:sz w:val="32"/>
          <w:szCs w:val="32"/>
          <w:lang w:val="uk-UA"/>
        </w:rPr>
        <w:t xml:space="preserve">судових </w:t>
      </w:r>
      <w:r w:rsidR="002A7921" w:rsidRPr="00DF0B40">
        <w:rPr>
          <w:rFonts w:ascii="Times New Roman" w:hAnsi="Times New Roman" w:cs="Times New Roman"/>
          <w:sz w:val="32"/>
          <w:szCs w:val="32"/>
        </w:rPr>
        <w:t>справ: - 9</w:t>
      </w:r>
      <w:r w:rsidR="002A7921" w:rsidRPr="00DF0B40">
        <w:rPr>
          <w:rFonts w:ascii="Times New Roman" w:hAnsi="Times New Roman" w:cs="Times New Roman"/>
          <w:sz w:val="32"/>
          <w:szCs w:val="32"/>
          <w:lang w:val="uk-UA"/>
        </w:rPr>
        <w:t>7</w:t>
      </w:r>
      <w:r w:rsidR="002A7921" w:rsidRPr="00DF0B40">
        <w:rPr>
          <w:rFonts w:ascii="Times New Roman" w:hAnsi="Times New Roman" w:cs="Times New Roman"/>
          <w:sz w:val="32"/>
          <w:szCs w:val="32"/>
        </w:rPr>
        <w:t>,</w:t>
      </w:r>
      <w:r w:rsidR="002A7921" w:rsidRPr="00DF0B40">
        <w:rPr>
          <w:rFonts w:ascii="Times New Roman" w:hAnsi="Times New Roman" w:cs="Times New Roman"/>
          <w:sz w:val="32"/>
          <w:szCs w:val="32"/>
          <w:lang w:val="uk-UA"/>
        </w:rPr>
        <w:t>1 %</w:t>
      </w:r>
      <w:r w:rsidR="002A7921" w:rsidRPr="00DF0B40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="002A7921" w:rsidRPr="00DF0B40">
        <w:rPr>
          <w:rFonts w:ascii="Times New Roman" w:hAnsi="Times New Roman" w:cs="Times New Roman"/>
          <w:sz w:val="32"/>
          <w:szCs w:val="32"/>
        </w:rPr>
        <w:t>Наведені</w:t>
      </w:r>
      <w:proofErr w:type="spellEnd"/>
      <w:r w:rsidR="002A7921"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921" w:rsidRPr="00DF0B40">
        <w:rPr>
          <w:rFonts w:ascii="Times New Roman" w:hAnsi="Times New Roman" w:cs="Times New Roman"/>
          <w:sz w:val="32"/>
          <w:szCs w:val="32"/>
        </w:rPr>
        <w:t>дані</w:t>
      </w:r>
      <w:proofErr w:type="spellEnd"/>
      <w:r w:rsidR="002A7921"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921" w:rsidRPr="00DF0B40">
        <w:rPr>
          <w:rFonts w:ascii="Times New Roman" w:hAnsi="Times New Roman" w:cs="Times New Roman"/>
          <w:sz w:val="32"/>
          <w:szCs w:val="32"/>
        </w:rPr>
        <w:t>свідчать</w:t>
      </w:r>
      <w:proofErr w:type="spellEnd"/>
      <w:r w:rsidR="002A7921" w:rsidRPr="00DF0B4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="002A7921" w:rsidRPr="00DF0B40">
        <w:rPr>
          <w:rFonts w:ascii="Times New Roman" w:hAnsi="Times New Roman" w:cs="Times New Roman"/>
          <w:sz w:val="32"/>
          <w:szCs w:val="32"/>
        </w:rPr>
        <w:t>позитивні</w:t>
      </w:r>
      <w:proofErr w:type="spellEnd"/>
      <w:r w:rsidR="002A7921"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921" w:rsidRPr="00DF0B40">
        <w:rPr>
          <w:rFonts w:ascii="Times New Roman" w:hAnsi="Times New Roman" w:cs="Times New Roman"/>
          <w:sz w:val="32"/>
          <w:szCs w:val="32"/>
        </w:rPr>
        <w:t>тенденції</w:t>
      </w:r>
      <w:proofErr w:type="spellEnd"/>
      <w:r w:rsidR="002A7921"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921" w:rsidRPr="00DF0B40">
        <w:rPr>
          <w:rFonts w:ascii="Times New Roman" w:hAnsi="Times New Roman" w:cs="Times New Roman"/>
          <w:sz w:val="32"/>
          <w:szCs w:val="32"/>
        </w:rPr>
        <w:t>звітного</w:t>
      </w:r>
      <w:proofErr w:type="spellEnd"/>
      <w:r w:rsidR="002A7921" w:rsidRPr="00DF0B4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2A7921" w:rsidRPr="00DF0B40">
        <w:rPr>
          <w:rFonts w:ascii="Times New Roman" w:hAnsi="Times New Roman" w:cs="Times New Roman"/>
          <w:sz w:val="32"/>
          <w:szCs w:val="32"/>
        </w:rPr>
        <w:t>періоду</w:t>
      </w:r>
      <w:proofErr w:type="spellEnd"/>
      <w:r w:rsidR="002A7921" w:rsidRPr="00DF0B40">
        <w:rPr>
          <w:rFonts w:ascii="Times New Roman" w:hAnsi="Times New Roman" w:cs="Times New Roman"/>
          <w:sz w:val="32"/>
          <w:szCs w:val="32"/>
        </w:rPr>
        <w:t xml:space="preserve">. </w:t>
      </w:r>
    </w:p>
    <w:tbl>
      <w:tblPr>
        <w:tblW w:w="8380" w:type="dxa"/>
        <w:tblInd w:w="15" w:type="dxa"/>
        <w:tblLook w:val="04A0" w:firstRow="1" w:lastRow="0" w:firstColumn="1" w:lastColumn="0" w:noHBand="0" w:noVBand="1"/>
      </w:tblPr>
      <w:tblGrid>
        <w:gridCol w:w="590"/>
        <w:gridCol w:w="6190"/>
        <w:gridCol w:w="1628"/>
      </w:tblGrid>
      <w:tr w:rsidR="00BD7839" w:rsidRPr="00DF0B40" w14:paraId="1CAF5ACA" w14:textId="77777777" w:rsidTr="002A7921">
        <w:trPr>
          <w:trHeight w:val="360"/>
        </w:trPr>
        <w:tc>
          <w:tcPr>
            <w:tcW w:w="6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F449" w14:textId="77777777" w:rsidR="00BD7839" w:rsidRPr="00DF0B40" w:rsidRDefault="00BD7839" w:rsidP="00BD7839">
            <w:pPr>
              <w:spacing w:after="0" w:line="240" w:lineRule="auto"/>
              <w:ind w:right="30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  <w:p w14:paraId="47254D9D" w14:textId="77777777" w:rsidR="00BD7839" w:rsidRPr="00DF0B40" w:rsidRDefault="00BD7839" w:rsidP="00BD7839">
            <w:pPr>
              <w:spacing w:after="0" w:line="240" w:lineRule="auto"/>
              <w:ind w:right="30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Результативні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показники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розгляду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 справ</w:t>
            </w:r>
          </w:p>
          <w:p w14:paraId="7D1F699B" w14:textId="77777777" w:rsidR="00BD7839" w:rsidRPr="00DF0B40" w:rsidRDefault="00BD7839" w:rsidP="00BD7839">
            <w:pPr>
              <w:spacing w:after="0" w:line="240" w:lineRule="auto"/>
              <w:ind w:right="303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5CE4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BD7839" w:rsidRPr="00DF0B40" w14:paraId="13858BBC" w14:textId="77777777" w:rsidTr="002A7921">
        <w:trPr>
          <w:trHeight w:val="51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3AC78F" w14:textId="77777777" w:rsidR="00BD7839" w:rsidRPr="00DF0B40" w:rsidRDefault="00BD7839" w:rsidP="00BD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Найменування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показника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67A11" w14:textId="77777777" w:rsidR="00BD7839" w:rsidRPr="00DF0B40" w:rsidRDefault="00BD7839" w:rsidP="00BD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Кількість</w:t>
            </w:r>
            <w:proofErr w:type="spellEnd"/>
          </w:p>
        </w:tc>
      </w:tr>
      <w:tr w:rsidR="00BD7839" w:rsidRPr="00DF0B40" w14:paraId="6FB7AC45" w14:textId="77777777" w:rsidTr="002A7921">
        <w:trPr>
          <w:trHeight w:val="555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E6F90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Відсоток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справ та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матеріалів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загальний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термін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проходження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яких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триває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понад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один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рік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944A" w14:textId="61B684D5" w:rsidR="00BD7839" w:rsidRPr="00BC6496" w:rsidRDefault="00BC6496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15,2</w:t>
            </w:r>
          </w:p>
        </w:tc>
      </w:tr>
      <w:tr w:rsidR="00BD7839" w:rsidRPr="00DF0B40" w14:paraId="3E7E39B3" w14:textId="77777777" w:rsidTr="00BC6496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458D570" w14:textId="77777777" w:rsidR="00BD7839" w:rsidRPr="00DF0B40" w:rsidRDefault="00BD7839" w:rsidP="00BD78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у тому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числі</w:t>
            </w:r>
            <w:proofErr w:type="spellEnd"/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012BFE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кримінального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судочинства</w:t>
            </w:r>
            <w:proofErr w:type="spellEnd"/>
            <w:proofErr w:type="gram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15DF4" w14:textId="7EC00EA4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38,2</w:t>
            </w:r>
          </w:p>
        </w:tc>
      </w:tr>
      <w:tr w:rsidR="00BD7839" w:rsidRPr="00DF0B40" w14:paraId="4718A6BE" w14:textId="77777777" w:rsidTr="00BC6496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B785CA0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61C60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адміністративного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судочинства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B55D4" w14:textId="28FEB120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10,6</w:t>
            </w:r>
          </w:p>
        </w:tc>
      </w:tr>
      <w:tr w:rsidR="00BD7839" w:rsidRPr="00DF0B40" w14:paraId="6E530E7A" w14:textId="77777777" w:rsidTr="00BC6496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C1A343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10BD1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цивільного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судочинства</w:t>
            </w:r>
            <w:proofErr w:type="spellEnd"/>
            <w:proofErr w:type="gram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F3FE6" w14:textId="4DDDE2BB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12,2</w:t>
            </w:r>
          </w:p>
        </w:tc>
      </w:tr>
      <w:tr w:rsidR="00BD7839" w:rsidRPr="00DF0B40" w14:paraId="498D0798" w14:textId="77777777" w:rsidTr="00BC6496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5F59CE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6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F47F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адміністративні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правопорушення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A2F9" w14:textId="191FEA45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0,1</w:t>
            </w:r>
          </w:p>
        </w:tc>
      </w:tr>
      <w:tr w:rsidR="00BD7839" w:rsidRPr="00DF0B40" w14:paraId="1D0B7A02" w14:textId="77777777" w:rsidTr="00BC6496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92397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Відсоток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розгляду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справ, %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73BBC" w14:textId="786B2557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100,0</w:t>
            </w:r>
          </w:p>
        </w:tc>
      </w:tr>
      <w:tr w:rsidR="00BD7839" w:rsidRPr="00DF0B40" w14:paraId="61233A76" w14:textId="77777777" w:rsidTr="00BC6496">
        <w:trPr>
          <w:trHeight w:val="36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468FB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Середня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кількість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розглянутих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справ на одного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суддю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4C3F40" w14:textId="4184775C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874</w:t>
            </w:r>
          </w:p>
        </w:tc>
      </w:tr>
      <w:tr w:rsidR="00BD7839" w:rsidRPr="00DF0B40" w14:paraId="5091B2B4" w14:textId="77777777" w:rsidTr="00BC6496">
        <w:trPr>
          <w:trHeight w:val="51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6B442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Середня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кількість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справ та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матеріалів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,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що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перебували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розгляді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звітний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період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в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розрахунку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на одного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суддю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E1754" w14:textId="11E3EEE6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1016</w:t>
            </w:r>
          </w:p>
        </w:tc>
      </w:tr>
      <w:tr w:rsidR="00BD7839" w:rsidRPr="00DF0B40" w14:paraId="72D339AA" w14:textId="77777777" w:rsidTr="00BC6496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17E48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Середня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тривалість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розгляду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справи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днів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6504D" w14:textId="7050A54C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57</w:t>
            </w:r>
          </w:p>
        </w:tc>
      </w:tr>
      <w:tr w:rsidR="00BD7839" w:rsidRPr="00DF0B40" w14:paraId="17B0370B" w14:textId="77777777" w:rsidTr="00BC6496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83418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кримінального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судочинства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3354A" w14:textId="1DF0E234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47</w:t>
            </w:r>
          </w:p>
        </w:tc>
      </w:tr>
      <w:tr w:rsidR="00BD7839" w:rsidRPr="00DF0B40" w14:paraId="051BFA9D" w14:textId="77777777" w:rsidTr="00BC6496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C6EB2" w14:textId="77777777" w:rsidR="00BD7839" w:rsidRPr="00DF0B40" w:rsidRDefault="00BD7839" w:rsidP="00BD7839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справи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кримінального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провадження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(з гр.4 ряд.1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розділу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F8A5D" w14:textId="742AB515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182</w:t>
            </w:r>
          </w:p>
        </w:tc>
      </w:tr>
      <w:tr w:rsidR="00BD7839" w:rsidRPr="00DF0B40" w14:paraId="084C7E48" w14:textId="77777777" w:rsidTr="00BC6496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6A10EF" w14:textId="77777777" w:rsidR="00BD7839" w:rsidRPr="00DF0B40" w:rsidRDefault="00BD7839" w:rsidP="00BD7839">
            <w:pPr>
              <w:spacing w:after="0" w:line="240" w:lineRule="auto"/>
              <w:ind w:firstLineChars="200" w:firstLine="640"/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справи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досудового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розслідування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(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слідчі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судді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) (з гр.4 ряд.2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>розділу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i/>
                <w:iCs/>
                <w:sz w:val="32"/>
                <w:szCs w:val="32"/>
                <w:lang w:eastAsia="ru-RU"/>
              </w:rPr>
              <w:t xml:space="preserve"> 1)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867A3" w14:textId="1E1BA645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4</w:t>
            </w:r>
          </w:p>
        </w:tc>
      </w:tr>
      <w:tr w:rsidR="00BD7839" w:rsidRPr="00DF0B40" w14:paraId="6D5529E9" w14:textId="77777777" w:rsidTr="00BC6496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54E1E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адміністративного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судочинства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2DD6A" w14:textId="4553BD43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113</w:t>
            </w:r>
          </w:p>
        </w:tc>
      </w:tr>
      <w:tr w:rsidR="00BD7839" w:rsidRPr="00DF0B40" w14:paraId="31210B20" w14:textId="77777777" w:rsidTr="00BC6496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5B9F7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proofErr w:type="gram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цивільного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судочинства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C2F57" w14:textId="1DE0BFBD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92</w:t>
            </w:r>
          </w:p>
        </w:tc>
      </w:tr>
      <w:tr w:rsidR="00BD7839" w:rsidRPr="00DF0B40" w14:paraId="129793CB" w14:textId="77777777" w:rsidTr="00BC6496">
        <w:trPr>
          <w:trHeight w:val="330"/>
        </w:trPr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4A164" w14:textId="77777777" w:rsidR="00BD7839" w:rsidRPr="00DF0B40" w:rsidRDefault="00BD7839" w:rsidP="00BD7839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про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адміністративні</w:t>
            </w:r>
            <w:proofErr w:type="spellEnd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Pr="00DF0B40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правопорушення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06035" w14:textId="7347D608" w:rsidR="00BD7839" w:rsidRPr="0056410E" w:rsidRDefault="0056410E" w:rsidP="00BD78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33</w:t>
            </w:r>
          </w:p>
        </w:tc>
      </w:tr>
    </w:tbl>
    <w:p w14:paraId="5C0D919C" w14:textId="77777777" w:rsidR="00F6393A" w:rsidRPr="00DF0B40" w:rsidRDefault="00F6393A" w:rsidP="00E050B4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F0B4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97F6BA" w14:textId="77777777" w:rsidR="00F6393A" w:rsidRPr="00DF0B40" w:rsidRDefault="00F6393A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sectPr w:rsidR="00F6393A" w:rsidRPr="00DF0B40" w:rsidSect="003E2780">
      <w:pgSz w:w="11906" w:h="16838"/>
      <w:pgMar w:top="284" w:right="851" w:bottom="28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C60FF"/>
    <w:multiLevelType w:val="hybridMultilevel"/>
    <w:tmpl w:val="04BCF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6C774F"/>
    <w:multiLevelType w:val="hybridMultilevel"/>
    <w:tmpl w:val="12C2DD8E"/>
    <w:lvl w:ilvl="0" w:tplc="483EEBA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A01687"/>
    <w:multiLevelType w:val="hybridMultilevel"/>
    <w:tmpl w:val="7BFCF49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891C68"/>
    <w:multiLevelType w:val="hybridMultilevel"/>
    <w:tmpl w:val="04BCF8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6C727C"/>
    <w:multiLevelType w:val="hybridMultilevel"/>
    <w:tmpl w:val="F7BC7672"/>
    <w:lvl w:ilvl="0" w:tplc="A4829628">
      <w:start w:val="2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5D0B26"/>
    <w:multiLevelType w:val="hybridMultilevel"/>
    <w:tmpl w:val="AC9C7E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B5"/>
    <w:rsid w:val="00017015"/>
    <w:rsid w:val="00026560"/>
    <w:rsid w:val="00027AEC"/>
    <w:rsid w:val="00034DE1"/>
    <w:rsid w:val="00036E51"/>
    <w:rsid w:val="000448B8"/>
    <w:rsid w:val="0006185E"/>
    <w:rsid w:val="000629DA"/>
    <w:rsid w:val="00063767"/>
    <w:rsid w:val="000726F9"/>
    <w:rsid w:val="00074361"/>
    <w:rsid w:val="000857CA"/>
    <w:rsid w:val="00097047"/>
    <w:rsid w:val="000A2C46"/>
    <w:rsid w:val="000A4E5D"/>
    <w:rsid w:val="000E251B"/>
    <w:rsid w:val="000E7C4E"/>
    <w:rsid w:val="000F4D1A"/>
    <w:rsid w:val="000F52D0"/>
    <w:rsid w:val="00100559"/>
    <w:rsid w:val="001071D1"/>
    <w:rsid w:val="00111B1C"/>
    <w:rsid w:val="0013025E"/>
    <w:rsid w:val="00134912"/>
    <w:rsid w:val="00135DE6"/>
    <w:rsid w:val="00137349"/>
    <w:rsid w:val="00141DF0"/>
    <w:rsid w:val="001460F8"/>
    <w:rsid w:val="00150E86"/>
    <w:rsid w:val="00162662"/>
    <w:rsid w:val="0017026E"/>
    <w:rsid w:val="001702F7"/>
    <w:rsid w:val="00173093"/>
    <w:rsid w:val="001839D0"/>
    <w:rsid w:val="0018704C"/>
    <w:rsid w:val="00190696"/>
    <w:rsid w:val="001A622C"/>
    <w:rsid w:val="001A6C35"/>
    <w:rsid w:val="001A710D"/>
    <w:rsid w:val="001B1BBF"/>
    <w:rsid w:val="001B2C9F"/>
    <w:rsid w:val="001C3D20"/>
    <w:rsid w:val="001D312F"/>
    <w:rsid w:val="001E3949"/>
    <w:rsid w:val="002128A0"/>
    <w:rsid w:val="00216C6F"/>
    <w:rsid w:val="0023116F"/>
    <w:rsid w:val="00231C22"/>
    <w:rsid w:val="00263017"/>
    <w:rsid w:val="0028149C"/>
    <w:rsid w:val="002828BB"/>
    <w:rsid w:val="002A53F3"/>
    <w:rsid w:val="002A7921"/>
    <w:rsid w:val="002B6D84"/>
    <w:rsid w:val="002C13AD"/>
    <w:rsid w:val="002D327E"/>
    <w:rsid w:val="002F40E6"/>
    <w:rsid w:val="002F4A5C"/>
    <w:rsid w:val="00310C2C"/>
    <w:rsid w:val="0031330F"/>
    <w:rsid w:val="0033755D"/>
    <w:rsid w:val="0033777C"/>
    <w:rsid w:val="003461D5"/>
    <w:rsid w:val="00361C5F"/>
    <w:rsid w:val="00391F87"/>
    <w:rsid w:val="0039371E"/>
    <w:rsid w:val="00393B33"/>
    <w:rsid w:val="003A51F5"/>
    <w:rsid w:val="003B1801"/>
    <w:rsid w:val="003E15BF"/>
    <w:rsid w:val="003E2780"/>
    <w:rsid w:val="003E5577"/>
    <w:rsid w:val="003E7623"/>
    <w:rsid w:val="003F31D9"/>
    <w:rsid w:val="003F42F0"/>
    <w:rsid w:val="0040720A"/>
    <w:rsid w:val="0042359A"/>
    <w:rsid w:val="00427F4C"/>
    <w:rsid w:val="004313D6"/>
    <w:rsid w:val="004445EC"/>
    <w:rsid w:val="00444B67"/>
    <w:rsid w:val="004454C8"/>
    <w:rsid w:val="00486823"/>
    <w:rsid w:val="0049644B"/>
    <w:rsid w:val="0049765E"/>
    <w:rsid w:val="004A2AC8"/>
    <w:rsid w:val="004A3234"/>
    <w:rsid w:val="004C4E39"/>
    <w:rsid w:val="004C57BB"/>
    <w:rsid w:val="004D17CD"/>
    <w:rsid w:val="004D5E46"/>
    <w:rsid w:val="004D6C8A"/>
    <w:rsid w:val="004E2493"/>
    <w:rsid w:val="004F0E6E"/>
    <w:rsid w:val="004F7876"/>
    <w:rsid w:val="00500977"/>
    <w:rsid w:val="005069E0"/>
    <w:rsid w:val="00531D09"/>
    <w:rsid w:val="00540612"/>
    <w:rsid w:val="005548C5"/>
    <w:rsid w:val="005620F2"/>
    <w:rsid w:val="0056410E"/>
    <w:rsid w:val="00584E3B"/>
    <w:rsid w:val="00592182"/>
    <w:rsid w:val="005936F2"/>
    <w:rsid w:val="005A08C5"/>
    <w:rsid w:val="005B3C7C"/>
    <w:rsid w:val="005C213D"/>
    <w:rsid w:val="005D2728"/>
    <w:rsid w:val="005D60B3"/>
    <w:rsid w:val="005E3386"/>
    <w:rsid w:val="005E5838"/>
    <w:rsid w:val="005E7811"/>
    <w:rsid w:val="005F1D87"/>
    <w:rsid w:val="005F4F7C"/>
    <w:rsid w:val="00601E0F"/>
    <w:rsid w:val="00613D33"/>
    <w:rsid w:val="00614621"/>
    <w:rsid w:val="006214E4"/>
    <w:rsid w:val="006444BA"/>
    <w:rsid w:val="00673567"/>
    <w:rsid w:val="00692726"/>
    <w:rsid w:val="006A2CE5"/>
    <w:rsid w:val="006A7EB8"/>
    <w:rsid w:val="006B2C58"/>
    <w:rsid w:val="006B4750"/>
    <w:rsid w:val="006C4054"/>
    <w:rsid w:val="006C7845"/>
    <w:rsid w:val="006E7EA3"/>
    <w:rsid w:val="007107F6"/>
    <w:rsid w:val="00713A40"/>
    <w:rsid w:val="00726934"/>
    <w:rsid w:val="00743BBB"/>
    <w:rsid w:val="00745311"/>
    <w:rsid w:val="0075212F"/>
    <w:rsid w:val="00761EF0"/>
    <w:rsid w:val="00780611"/>
    <w:rsid w:val="00792702"/>
    <w:rsid w:val="007A675C"/>
    <w:rsid w:val="007A7E0E"/>
    <w:rsid w:val="007D5311"/>
    <w:rsid w:val="007E03E6"/>
    <w:rsid w:val="00806EA2"/>
    <w:rsid w:val="00813FC9"/>
    <w:rsid w:val="00824090"/>
    <w:rsid w:val="00824524"/>
    <w:rsid w:val="008347A1"/>
    <w:rsid w:val="00836EE5"/>
    <w:rsid w:val="00846B7C"/>
    <w:rsid w:val="00851FD5"/>
    <w:rsid w:val="00867478"/>
    <w:rsid w:val="00867E57"/>
    <w:rsid w:val="00874016"/>
    <w:rsid w:val="00884131"/>
    <w:rsid w:val="00897640"/>
    <w:rsid w:val="008A59AD"/>
    <w:rsid w:val="008E4826"/>
    <w:rsid w:val="008F6731"/>
    <w:rsid w:val="009001B0"/>
    <w:rsid w:val="00917F0F"/>
    <w:rsid w:val="00931B07"/>
    <w:rsid w:val="00932651"/>
    <w:rsid w:val="00934578"/>
    <w:rsid w:val="009358AC"/>
    <w:rsid w:val="009516D6"/>
    <w:rsid w:val="009516DC"/>
    <w:rsid w:val="00955445"/>
    <w:rsid w:val="00956735"/>
    <w:rsid w:val="0096183C"/>
    <w:rsid w:val="00964402"/>
    <w:rsid w:val="0096475C"/>
    <w:rsid w:val="00972F02"/>
    <w:rsid w:val="0098315E"/>
    <w:rsid w:val="00997C1A"/>
    <w:rsid w:val="009A158F"/>
    <w:rsid w:val="009A1A97"/>
    <w:rsid w:val="009A61AB"/>
    <w:rsid w:val="009B5F97"/>
    <w:rsid w:val="009C33A4"/>
    <w:rsid w:val="009C501C"/>
    <w:rsid w:val="009C7A9C"/>
    <w:rsid w:val="009D07C2"/>
    <w:rsid w:val="009D1E3C"/>
    <w:rsid w:val="009D4B1B"/>
    <w:rsid w:val="009D6E88"/>
    <w:rsid w:val="009E0FB4"/>
    <w:rsid w:val="009E2467"/>
    <w:rsid w:val="009F0C53"/>
    <w:rsid w:val="009F2AEE"/>
    <w:rsid w:val="009F4631"/>
    <w:rsid w:val="00A03217"/>
    <w:rsid w:val="00A1761D"/>
    <w:rsid w:val="00A21DD1"/>
    <w:rsid w:val="00A261B7"/>
    <w:rsid w:val="00A27EF1"/>
    <w:rsid w:val="00A417E5"/>
    <w:rsid w:val="00A425E1"/>
    <w:rsid w:val="00A57B2D"/>
    <w:rsid w:val="00A737FE"/>
    <w:rsid w:val="00A8020F"/>
    <w:rsid w:val="00A861D1"/>
    <w:rsid w:val="00A86265"/>
    <w:rsid w:val="00AB1987"/>
    <w:rsid w:val="00AB20C7"/>
    <w:rsid w:val="00AB3D3C"/>
    <w:rsid w:val="00AC10B8"/>
    <w:rsid w:val="00AD1D17"/>
    <w:rsid w:val="00AD76DA"/>
    <w:rsid w:val="00AF2187"/>
    <w:rsid w:val="00AF2F62"/>
    <w:rsid w:val="00AF4387"/>
    <w:rsid w:val="00B0115A"/>
    <w:rsid w:val="00B04009"/>
    <w:rsid w:val="00B24CE2"/>
    <w:rsid w:val="00B26BE7"/>
    <w:rsid w:val="00B37F41"/>
    <w:rsid w:val="00B44293"/>
    <w:rsid w:val="00B47096"/>
    <w:rsid w:val="00B52A84"/>
    <w:rsid w:val="00B53F24"/>
    <w:rsid w:val="00B57DE9"/>
    <w:rsid w:val="00B84507"/>
    <w:rsid w:val="00B94E6B"/>
    <w:rsid w:val="00BA0105"/>
    <w:rsid w:val="00BA37AE"/>
    <w:rsid w:val="00BC1E75"/>
    <w:rsid w:val="00BC296E"/>
    <w:rsid w:val="00BC6496"/>
    <w:rsid w:val="00BD7839"/>
    <w:rsid w:val="00BF0A94"/>
    <w:rsid w:val="00BF6FB8"/>
    <w:rsid w:val="00C0249C"/>
    <w:rsid w:val="00C200C0"/>
    <w:rsid w:val="00C23279"/>
    <w:rsid w:val="00C26FB6"/>
    <w:rsid w:val="00C4528D"/>
    <w:rsid w:val="00C53012"/>
    <w:rsid w:val="00C6776C"/>
    <w:rsid w:val="00C77EC6"/>
    <w:rsid w:val="00C830CA"/>
    <w:rsid w:val="00CA3112"/>
    <w:rsid w:val="00CC2A71"/>
    <w:rsid w:val="00CD1BEF"/>
    <w:rsid w:val="00CF1259"/>
    <w:rsid w:val="00CF6BC5"/>
    <w:rsid w:val="00D05DA9"/>
    <w:rsid w:val="00D16495"/>
    <w:rsid w:val="00D269A5"/>
    <w:rsid w:val="00D42DB4"/>
    <w:rsid w:val="00D46D41"/>
    <w:rsid w:val="00D5545C"/>
    <w:rsid w:val="00D559E8"/>
    <w:rsid w:val="00D73ACE"/>
    <w:rsid w:val="00D8140A"/>
    <w:rsid w:val="00D91C4E"/>
    <w:rsid w:val="00DB58F6"/>
    <w:rsid w:val="00DB66B5"/>
    <w:rsid w:val="00DC5E25"/>
    <w:rsid w:val="00DD5BC0"/>
    <w:rsid w:val="00DF0B40"/>
    <w:rsid w:val="00DF4162"/>
    <w:rsid w:val="00E050B4"/>
    <w:rsid w:val="00E06CAF"/>
    <w:rsid w:val="00E23296"/>
    <w:rsid w:val="00E31269"/>
    <w:rsid w:val="00E330F6"/>
    <w:rsid w:val="00E46E34"/>
    <w:rsid w:val="00E604A6"/>
    <w:rsid w:val="00E80171"/>
    <w:rsid w:val="00E83C2A"/>
    <w:rsid w:val="00E865ED"/>
    <w:rsid w:val="00E91B9C"/>
    <w:rsid w:val="00E95BAC"/>
    <w:rsid w:val="00EA07B9"/>
    <w:rsid w:val="00EA0F31"/>
    <w:rsid w:val="00EC368B"/>
    <w:rsid w:val="00ED4BC3"/>
    <w:rsid w:val="00EE5BED"/>
    <w:rsid w:val="00EF1548"/>
    <w:rsid w:val="00EF3A5C"/>
    <w:rsid w:val="00EF4B2F"/>
    <w:rsid w:val="00EF554F"/>
    <w:rsid w:val="00EF6EC5"/>
    <w:rsid w:val="00F00E31"/>
    <w:rsid w:val="00F021DE"/>
    <w:rsid w:val="00F03A3C"/>
    <w:rsid w:val="00F117B1"/>
    <w:rsid w:val="00F141F6"/>
    <w:rsid w:val="00F15E30"/>
    <w:rsid w:val="00F32908"/>
    <w:rsid w:val="00F4335F"/>
    <w:rsid w:val="00F460C2"/>
    <w:rsid w:val="00F55BEF"/>
    <w:rsid w:val="00F56415"/>
    <w:rsid w:val="00F6393A"/>
    <w:rsid w:val="00F80732"/>
    <w:rsid w:val="00F87658"/>
    <w:rsid w:val="00FB30BE"/>
    <w:rsid w:val="00FC1997"/>
    <w:rsid w:val="00FC308A"/>
    <w:rsid w:val="00FD4121"/>
    <w:rsid w:val="00FE17D6"/>
    <w:rsid w:val="00FE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60B1A"/>
  <w15:docId w15:val="{ED053AE5-470A-4C8E-8561-0D89B843E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DB66B5"/>
  </w:style>
  <w:style w:type="character" w:styleId="a3">
    <w:name w:val="page number"/>
    <w:basedOn w:val="a0"/>
    <w:rsid w:val="00DB66B5"/>
  </w:style>
  <w:style w:type="paragraph" w:styleId="a4">
    <w:name w:val="header"/>
    <w:basedOn w:val="a"/>
    <w:link w:val="a5"/>
    <w:rsid w:val="00DB66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DB66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DB66B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DB66B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06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6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0592725710248235"/>
          <c:y val="0.11456106507487797"/>
          <c:w val="0.87582759444835512"/>
          <c:h val="0.588916524109370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Закрито кримінальних проваджень - 710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5299691801364383E-2"/>
                  <c:y val="0.1335060134650137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62E-4D99-89A4-FD4F7ADDE6A3}"/>
                </c:ext>
                <c:ext xmlns:c15="http://schemas.microsoft.com/office/drawing/2012/chart" uri="{CE6537A1-D6FC-4f65-9D91-7224C49458BB}">
                  <c15:layout>
                    <c:manualLayout>
                      <c:w val="6.4599392057966692E-2"/>
                      <c:h val="0.1000765501403419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Аркуш1!$B$2</c:f>
              <c:numCache>
                <c:formatCode>General</c:formatCode>
                <c:ptCount val="1"/>
                <c:pt idx="0">
                  <c:v>710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62E-4D99-89A4-FD4F7ADDE6A3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З постановленням вироку - 1497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6297893514679055E-2"/>
                  <c:y val="0.1078582434514637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62E-4D99-89A4-FD4F7ADDE6A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Аркуш1!$C$2</c:f>
              <c:numCache>
                <c:formatCode>General</c:formatCode>
                <c:ptCount val="1"/>
                <c:pt idx="0">
                  <c:v>1497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62E-4D99-89A4-FD4F7ADDE6A3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Закінчено кримінальних проваджень - 2459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7.0555673161254301E-2"/>
                  <c:y val="0.11299435028248583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2944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62E-4D99-89A4-FD4F7ADDE6A3}"/>
                </c:ext>
                <c:ext xmlns:c15="http://schemas.microsoft.com/office/drawing/2012/chart" uri="{CE6537A1-D6FC-4f65-9D91-7224C49458BB}">
                  <c15:layout>
                    <c:manualLayout>
                      <c:w val="5.579154024629663E-2"/>
                      <c:h val="8.9869864761418727E-2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Аркуш1!$D$2</c:f>
              <c:numCache>
                <c:formatCode>General</c:formatCode>
                <c:ptCount val="1"/>
                <c:pt idx="0">
                  <c:v>2459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62E-4D99-89A4-FD4F7ADDE6A3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Перебувало кримінальних проваджень -4816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7868914974494002E-2"/>
                  <c:y val="2.8199441358280734E-2"/>
                </c:manualLayout>
              </c:layout>
              <c:tx>
                <c:rich>
                  <a:bodyPr rot="0" spcFirstLastPara="1" vertOverflow="ellipsis" vert="horz" wrap="square" lIns="38100" tIns="19050" rIns="38100" bIns="19050" anchor="ctr" anchorCtr="1">
                    <a:noAutofit/>
                  </a:bodyPr>
                  <a:lstStyle/>
                  <a:p>
                    <a:pPr>
                      <a:defRPr sz="1197" b="0" i="0" u="none" strike="noStrike" kern="1200" baseline="0"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en-US"/>
                      <a:t>5151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197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62E-4D99-89A4-FD4F7ADDE6A3}"/>
                </c:ext>
                <c:ext xmlns:c15="http://schemas.microsoft.com/office/drawing/2012/chart" uri="{CE6537A1-D6FC-4f65-9D91-7224C49458BB}">
                  <c15:layout>
                    <c:manualLayout>
                      <c:w val="7.3639121898982682E-2"/>
                      <c:h val="0.10517989282980351"/>
                    </c:manualLayout>
                  </c15:layout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Аркуш1!$A$2</c:f>
              <c:numCache>
                <c:formatCode>General</c:formatCode>
                <c:ptCount val="1"/>
              </c:numCache>
            </c:numRef>
          </c:cat>
          <c:val>
            <c:numRef>
              <c:f>Аркуш1!$E$2</c:f>
              <c:numCache>
                <c:formatCode>General</c:formatCode>
                <c:ptCount val="1"/>
                <c:pt idx="0">
                  <c:v>4816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62E-4D99-89A4-FD4F7ADDE6A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-1409146368"/>
        <c:axId val="-1409145824"/>
        <c:axId val="-1330201760"/>
      </c:bar3DChart>
      <c:catAx>
        <c:axId val="-140914636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409145824"/>
        <c:crosses val="autoZero"/>
        <c:auto val="1"/>
        <c:lblAlgn val="ctr"/>
        <c:lblOffset val="100"/>
        <c:noMultiLvlLbl val="0"/>
      </c:catAx>
      <c:valAx>
        <c:axId val="-140914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09146368"/>
        <c:crosses val="autoZero"/>
        <c:crossBetween val="between"/>
      </c:valAx>
      <c:serAx>
        <c:axId val="-1330201760"/>
        <c:scaling>
          <c:orientation val="minMax"/>
        </c:scaling>
        <c:delete val="1"/>
        <c:axPos val="b"/>
        <c:majorTickMark val="out"/>
        <c:minorTickMark val="none"/>
        <c:tickLblPos val="nextTo"/>
        <c:crossAx val="-1409145824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7.572999874653874E-2"/>
          <c:y val="0.21191068031799201"/>
          <c:w val="0.90437130371366392"/>
          <c:h val="0.51026009260873195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Закрито кримінальних проваджень - 1038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9493487698986971E-2"/>
                  <c:y val="8.66217516843117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939D-4F05-807F-BC3FBEA5CB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1038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939D-4F05-807F-BC3FBEA5CB93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З постановленням вироку - 1833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8639652677279301E-2"/>
                  <c:y val="0.10105871029836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939D-4F05-807F-BC3FBEA5CB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1833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939D-4F05-807F-BC3FBEA5CB93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Закінчено кримінальних проваджень - 2944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9.4066570188133136E-2"/>
                  <c:y val="0.1010587102983638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939D-4F05-807F-BC3FBEA5CB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2944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939D-4F05-807F-BC3FBEA5CB93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Перебувало кримінальних проваджень - 5151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6.5123010130246017E-2"/>
                  <c:y val="4.812319538017324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4-939D-4F05-807F-BC3FBEA5CB9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5151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9D-4F05-807F-BC3FBEA5CB9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shape val="box"/>
        <c:axId val="-1409140384"/>
        <c:axId val="-1335861152"/>
        <c:axId val="-1330195520"/>
      </c:bar3DChart>
      <c:catAx>
        <c:axId val="-140914038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335861152"/>
        <c:crosses val="autoZero"/>
        <c:auto val="1"/>
        <c:lblAlgn val="ctr"/>
        <c:lblOffset val="100"/>
        <c:noMultiLvlLbl val="0"/>
      </c:catAx>
      <c:valAx>
        <c:axId val="-13358611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09140384"/>
        <c:crosses val="autoZero"/>
        <c:crossBetween val="between"/>
      </c:valAx>
      <c:serAx>
        <c:axId val="-1330195520"/>
        <c:scaling>
          <c:orientation val="minMax"/>
        </c:scaling>
        <c:delete val="1"/>
        <c:axPos val="b"/>
        <c:majorTickMark val="out"/>
        <c:minorTickMark val="none"/>
        <c:tickLblPos val="nextTo"/>
        <c:crossAx val="-1335861152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spPr>
            <a:effectLst>
              <a:innerShdw blurRad="63500" dist="50800" dir="18900000">
                <a:prstClr val="black">
                  <a:alpha val="50000"/>
                </a:prstClr>
              </a:innerShdw>
            </a:effectLst>
          </c:spPr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59DB-42F2-B7C2-6D2D5D9095A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59DB-42F2-B7C2-6D2D5D9095A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59DB-42F2-B7C2-6D2D5D9095A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59DB-42F2-B7C2-6D2D5D9095A4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>
                <a:innerShdw blurRad="63500" dist="50800" dir="18900000">
                  <a:prstClr val="black">
                    <a:alpha val="50000"/>
                  </a:prstClr>
                </a:innerShdw>
              </a:effectLst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59DB-42F2-B7C2-6D2D5D9095A4}"/>
              </c:ext>
            </c:extLst>
          </c:dPt>
          <c:dLbls>
            <c:dLbl>
              <c:idx val="0"/>
              <c:layout>
                <c:manualLayout>
                  <c:x val="-2.3151318041766519E-4"/>
                  <c:y val="-0.113298024653566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59DB-42F2-B7C2-6D2D5D9095A4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4836908973334855E-3"/>
                  <c:y val="6.328168485187774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59DB-42F2-B7C2-6D2D5D9095A4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8641922477081672E-3"/>
                  <c:y val="-0.1202002694343670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59DB-42F2-B7C2-6D2D5D9095A4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0222146144775379E-3"/>
                  <c:y val="-2.2766330724020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59DB-42F2-B7C2-6D2D5D9095A4}"/>
                </c:ex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3.6199456046255088E-2"/>
                  <c:y val="-2.76505755241261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59DB-42F2-B7C2-6D2D5D9095A4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Аркуш1!$A$2:$A$6</c:f>
              <c:strCache>
                <c:ptCount val="5"/>
                <c:pt idx="0">
                  <c:v>Злочини проти власності - 811</c:v>
                </c:pt>
                <c:pt idx="1">
                  <c:v>Злочини проти життя та здоров'я людини - 896</c:v>
                </c:pt>
                <c:pt idx="2">
                  <c:v>У сфері наркотичних засобів - 200</c:v>
                </c:pt>
                <c:pt idx="3">
                  <c:v>Громадської безпеки - 143</c:v>
                </c:pt>
                <c:pt idx="4">
                  <c:v>Проти безпеки руху та експлуатації транспорту - 260</c:v>
                </c:pt>
              </c:strCache>
            </c:strRef>
          </c:cat>
          <c:val>
            <c:numRef>
              <c:f>Аркуш1!$B$2:$B$6</c:f>
              <c:numCache>
                <c:formatCode>General</c:formatCode>
                <c:ptCount val="5"/>
                <c:pt idx="0">
                  <c:v>811</c:v>
                </c:pt>
                <c:pt idx="1">
                  <c:v>896</c:v>
                </c:pt>
                <c:pt idx="2">
                  <c:v>200</c:v>
                </c:pt>
                <c:pt idx="3">
                  <c:v>143</c:v>
                </c:pt>
                <c:pt idx="4">
                  <c:v>260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59DB-42F2-B7C2-6D2D5D9095A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 w="25400">
          <a:noFill/>
        </a:ln>
        <a:effectLst/>
        <a:sp3d/>
      </c:spPr>
    </c:sideWall>
    <c:backWall>
      <c:thickness val="0"/>
      <c:spPr>
        <a:noFill/>
        <a:ln w="25400"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Не розглянуто на кінець звітнього періоду справ- 2206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7569570087016455E-2"/>
                  <c:y val="-4.03966213734851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BE20-4D51-B067-BDEC9FDF67D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2206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E20-4D51-B067-BDEC9FDF67D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Не розглянуто понад 6 місяців, 1 рік - 330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7120356103406949E-2"/>
                  <c:y val="-6.15700359158543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1075-4802-9854-DB2672CD0F2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330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E20-4D51-B067-BDEC9FDF67D9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Понад 1 рік до 2 років - 412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5507883173946756E-2"/>
                  <c:y val="-5.508630187293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BE20-4D51-B067-BDEC9FDF67D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412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E20-4D51-B067-BDEC9FDF67D9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Понад 2 роки - 515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2400275695700869E-2"/>
                  <c:y val="-5.5086301872934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BE20-4D51-B067-BDEC9FDF67D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515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E20-4D51-B067-BDEC9FDF67D9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Зупинено кримінальних проваджень - 218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846471956577927E-2"/>
                  <c:y val="-6.6103562247521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BE20-4D51-B067-BDEC9FDF67D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218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BE20-4D51-B067-BDEC9FDF67D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59746848"/>
        <c:axId val="-1459736512"/>
        <c:axId val="0"/>
      </c:bar3DChart>
      <c:catAx>
        <c:axId val="-1459746848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459736512"/>
        <c:crosses val="autoZero"/>
        <c:auto val="1"/>
        <c:lblAlgn val="ctr"/>
        <c:lblOffset val="100"/>
        <c:noMultiLvlLbl val="0"/>
      </c:catAx>
      <c:valAx>
        <c:axId val="-14597365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97468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467188904930798"/>
          <c:y val="0.72217154230785285"/>
          <c:w val="0.70865427260729541"/>
          <c:h val="0.2295318010851517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Передано за підсудністю в інші суди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AC6-4D65-A55B-C72363075816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Із залишенням заяви без розгляду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1025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AC6-4D65-A55B-C72363075816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Закрито проваджень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351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AC6-4D65-A55B-C72363075816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З ухваленням рішення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10417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AC6-4D65-A55B-C72363075816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всього закінчено проваджень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11896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AC6-4D65-A55B-C723630758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9745760"/>
        <c:axId val="-1459741952"/>
      </c:barChart>
      <c:catAx>
        <c:axId val="-14597457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59741952"/>
        <c:crosses val="autoZero"/>
        <c:auto val="1"/>
        <c:lblAlgn val="ctr"/>
        <c:lblOffset val="100"/>
        <c:noMultiLvlLbl val="0"/>
      </c:catAx>
      <c:valAx>
        <c:axId val="-145974195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97457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4914825629399978E-2"/>
          <c:y val="0.70133257578550412"/>
          <c:w val="0.90957050200560263"/>
          <c:h val="0.280319731446403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Передано за підсудністю в інші суди- 94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C134-41D2-8C6C-F887C5C0C7B7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Із залишенням заяви без розгляду - 1178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1178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C134-41D2-8C6C-F887C5C0C7B7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Закрито проваджень - 440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440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C134-41D2-8C6C-F887C5C0C7B7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З ухваленням рішення - 11978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11978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C134-41D2-8C6C-F887C5C0C7B7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  <c:pt idx="0">
                  <c:v>всього закінчено проваджень - 13703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  <c:pt idx="0">
                  <c:v>13703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C134-41D2-8C6C-F887C5C0C7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-1459751200"/>
        <c:axId val="-1459738688"/>
      </c:barChart>
      <c:catAx>
        <c:axId val="-14597512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-1459738688"/>
        <c:crosses val="autoZero"/>
        <c:auto val="1"/>
        <c:lblAlgn val="ctr"/>
        <c:lblOffset val="100"/>
        <c:noMultiLvlLbl val="0"/>
      </c:catAx>
      <c:valAx>
        <c:axId val="-145973868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975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7183115955098249E-2"/>
          <c:y val="0.8051507389107726"/>
          <c:w val="0.97915588907431816"/>
          <c:h val="0.1860930884257951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DE5-407E-8884-BF3AC03C9B23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DE5-407E-8884-BF3AC03C9B23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DE5-407E-8884-BF3AC03C9B23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DE5-407E-8884-BF3AC03C9B23}"/>
              </c:ext>
            </c:extLst>
          </c:dPt>
          <c:dLbls>
            <c:dLbl>
              <c:idx val="0"/>
              <c:layout>
                <c:manualLayout>
                  <c:x val="1.2765621148185071E-2"/>
                  <c:y val="-9.05422174416031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DE5-407E-8884-BF3AC03C9B23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985901714818288E-2"/>
                  <c:y val="-0.1286707691477838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DE5-407E-8884-BF3AC03C9B23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2.6107021948343415E-2"/>
                  <c:y val="-3.6977361905694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DE5-407E-8884-BF3AC03C9B23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0373682909201569E-2"/>
                  <c:y val="-8.4732558123501325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DE5-407E-8884-BF3AC03C9B23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Всього закінчено проваджень - 13703</c:v>
                </c:pt>
                <c:pt idx="1">
                  <c:v>Спори що виникають із сімейних правовідносин - 6259</c:v>
                </c:pt>
                <c:pt idx="2">
                  <c:v>Спори що виникають із договірних правочинів - 3403</c:v>
                </c:pt>
                <c:pt idx="3">
                  <c:v>Спори із відносин спадкування - 1179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13703</c:v>
                </c:pt>
                <c:pt idx="1">
                  <c:v>6259</c:v>
                </c:pt>
                <c:pt idx="2">
                  <c:v>3403</c:v>
                </c:pt>
                <c:pt idx="3">
                  <c:v>1179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DE5-407E-8884-BF3AC03C9B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2.6842998216383168E-2"/>
          <c:y val="0.69044417740205088"/>
          <c:w val="0.95943417293832745"/>
          <c:h val="0.2478922792068280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Аркуш1!$B$1</c:f>
              <c:strCache>
                <c:ptCount val="1"/>
                <c:pt idx="0">
                  <c:v>Перебувало адміністративних справ- 788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2273918149788358E-3"/>
                  <c:y val="-6.09473688724106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6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Аркуш1!$B$2</c:f>
              <c:numCache>
                <c:formatCode>General</c:formatCode>
                <c:ptCount val="1"/>
                <c:pt idx="0">
                  <c:v>788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9E-45D2-9388-7F8AEF22A909}"/>
            </c:ext>
          </c:extLst>
        </c:ser>
        <c:ser>
          <c:idx val="1"/>
          <c:order val="1"/>
          <c:tx>
            <c:strRef>
              <c:f>Аркуш1!$C$1</c:f>
              <c:strCache>
                <c:ptCount val="1"/>
                <c:pt idx="0">
                  <c:v>Спори з приводу регулювання містобудування- 42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5295871352425628E-2"/>
                  <c:y val="-8.6071610807225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Аркуш1!$C$2</c:f>
              <c:numCache>
                <c:formatCode>General</c:formatCode>
                <c:ptCount val="1"/>
                <c:pt idx="0">
                  <c:v>42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19E-45D2-9388-7F8AEF22A909}"/>
            </c:ext>
          </c:extLst>
        </c:ser>
        <c:ser>
          <c:idx val="2"/>
          <c:order val="2"/>
          <c:tx>
            <c:strRef>
              <c:f>Аркуш1!$D$1</c:f>
              <c:strCache>
                <c:ptCount val="1"/>
                <c:pt idx="0">
                  <c:v>Спори реалізації державної політики у сфері економіки - 21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6261631583702165E-2"/>
                  <c:y val="-7.89070997637367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8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Аркуш1!$D$2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19E-45D2-9388-7F8AEF22A909}"/>
            </c:ext>
          </c:extLst>
        </c:ser>
        <c:ser>
          <c:idx val="3"/>
          <c:order val="3"/>
          <c:tx>
            <c:strRef>
              <c:f>Аркуш1!$E$1</c:f>
              <c:strCache>
                <c:ptCount val="1"/>
                <c:pt idx="0">
                  <c:v>Спори з приводу забезпечення громадського порядку та безпеки - 503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90956725991508E-2"/>
                  <c:y val="-7.154991903013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9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Аркуш1!$E$2</c:f>
              <c:numCache>
                <c:formatCode>General</c:formatCode>
                <c:ptCount val="1"/>
                <c:pt idx="0">
                  <c:v>503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19E-45D2-9388-7F8AEF22A909}"/>
            </c:ext>
          </c:extLst>
        </c:ser>
        <c:ser>
          <c:idx val="4"/>
          <c:order val="4"/>
          <c:tx>
            <c:strRef>
              <c:f>Аркуш1!$F$1</c:f>
              <c:strCache>
                <c:ptCount val="1"/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9875327491191617E-2"/>
                  <c:y val="-3.1807739883371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A-E19E-45D2-9388-7F8AEF22A909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Аркуш1!$A$2</c:f>
              <c:strCache>
                <c:ptCount val="1"/>
                <c:pt idx="0">
                  <c:v>Категорія 1</c:v>
                </c:pt>
              </c:strCache>
            </c:strRef>
          </c:cat>
          <c:val>
            <c:numRef>
              <c:f>Аркуш1!$F$2</c:f>
              <c:numCache>
                <c:formatCode>General</c:formatCode>
                <c:ptCount val="1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E19E-45D2-9388-7F8AEF22A90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-1459737600"/>
        <c:axId val="-1459751744"/>
        <c:axId val="0"/>
      </c:bar3DChart>
      <c:catAx>
        <c:axId val="-145973760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-1459751744"/>
        <c:crosses val="autoZero"/>
        <c:auto val="1"/>
        <c:lblAlgn val="ctr"/>
        <c:lblOffset val="100"/>
        <c:noMultiLvlLbl val="0"/>
      </c:catAx>
      <c:valAx>
        <c:axId val="-14597517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97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-1459737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4"/>
        <c:delete val="1"/>
      </c:legendEntry>
      <c:layout>
        <c:manualLayout>
          <c:xMode val="edge"/>
          <c:yMode val="edge"/>
          <c:x val="2.0522093695736765E-2"/>
          <c:y val="0.65576443986433086"/>
          <c:w val="0.93004624534861124"/>
          <c:h val="0.249844563584571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Аркуш1!$B$1</c:f>
              <c:strCache>
                <c:ptCount val="1"/>
                <c:pt idx="0">
                  <c:v>Продаж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84D-49D0-A761-A39C1E1CF1B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84D-49D0-A761-A39C1E1CF1B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84D-49D0-A761-A39C1E1CF1B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84D-49D0-A761-A39C1E1CF1BA}"/>
              </c:ext>
            </c:extLst>
          </c:dPt>
          <c:dLbls>
            <c:dLbl>
              <c:idx val="0"/>
              <c:layout>
                <c:manualLayout>
                  <c:x val="2.2973487009775865E-2"/>
                  <c:y val="-0.1395563847258015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684D-49D0-A761-A39C1E1CF1BA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6856085584975688E-2"/>
                  <c:y val="-1.0162706685734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684D-49D0-A761-A39C1E1CF1BA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9.6400110312297917E-3"/>
                  <c:y val="-7.237084317513371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684D-49D0-A761-A39C1E1CF1BA}"/>
                </c:ex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485535775419377E-2"/>
                  <c:y val="6.637038998119659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7-684D-49D0-A761-A39C1E1CF1BA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97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Аркуш1!$A$2:$A$5</c:f>
              <c:strCache>
                <c:ptCount val="4"/>
                <c:pt idx="0">
                  <c:v>Надійшло справ за ст.173 КУпАП</c:v>
                </c:pt>
                <c:pt idx="1">
                  <c:v>Повернуто - 182</c:v>
                </c:pt>
                <c:pt idx="2">
                  <c:v>Накладено адміністративне стягнення - 2238</c:v>
                </c:pt>
                <c:pt idx="3">
                  <c:v>За відсутністю подій адміністративного правопорушення - 306</c:v>
                </c:pt>
              </c:strCache>
            </c:strRef>
          </c:cat>
          <c:val>
            <c:numRef>
              <c:f>Аркуш1!$B$2:$B$5</c:f>
              <c:numCache>
                <c:formatCode>General</c:formatCode>
                <c:ptCount val="4"/>
                <c:pt idx="0">
                  <c:v>2715</c:v>
                </c:pt>
                <c:pt idx="1">
                  <c:v>182</c:v>
                </c:pt>
                <c:pt idx="2">
                  <c:v>2238</c:v>
                </c:pt>
                <c:pt idx="3">
                  <c:v>306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684D-49D0-A761-A39C1E1CF1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7216290143432569"/>
          <c:y val="0.66318107938914628"/>
          <c:w val="0.64458142815342756"/>
          <c:h val="0.3185840555488551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97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33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33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1197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1197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197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62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1197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01B15-3C80-4FC8-8245-DCAF58516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13</Pages>
  <Words>2137</Words>
  <Characters>12181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14290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Подольська Марія</cp:lastModifiedBy>
  <cp:revision>61</cp:revision>
  <cp:lastPrinted>2022-02-02T08:33:00Z</cp:lastPrinted>
  <dcterms:created xsi:type="dcterms:W3CDTF">2021-02-05T06:30:00Z</dcterms:created>
  <dcterms:modified xsi:type="dcterms:W3CDTF">2022-02-04T09:16:00Z</dcterms:modified>
</cp:coreProperties>
</file>