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0B94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315F8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E7F78" w14:textId="378A4471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07300" w14:textId="4AF89992" w:rsidR="00E330F6" w:rsidRPr="006441BD" w:rsidRDefault="00E330F6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85653" w14:textId="2C84714A" w:rsidR="00E330F6" w:rsidRPr="006441BD" w:rsidRDefault="00E330F6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40649" w14:textId="1B41E1A8" w:rsidR="00E330F6" w:rsidRPr="006441BD" w:rsidRDefault="00E330F6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BA48" w14:textId="77777777" w:rsidR="00E330F6" w:rsidRPr="006441BD" w:rsidRDefault="00E330F6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CF729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2AE32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186E2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07A52" w14:textId="534D751A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2466D" w14:textId="77777777" w:rsidR="00E330F6" w:rsidRPr="006441BD" w:rsidRDefault="00E330F6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17D0C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7065C" w14:textId="77777777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A8CB4" w14:textId="77777777" w:rsidR="00E330F6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 xml:space="preserve">Огляд даних </w:t>
      </w:r>
    </w:p>
    <w:p w14:paraId="35E41992" w14:textId="0AB5C671" w:rsidR="00E330F6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>про стан здійснення правосуддя місцевими судами</w:t>
      </w:r>
    </w:p>
    <w:p w14:paraId="7C3BB875" w14:textId="50966D18" w:rsidR="001460F8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області</w:t>
      </w:r>
    </w:p>
    <w:p w14:paraId="1A2053D2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C67BE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4D6AA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C0E27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7B233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C4C08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DB257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F6881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8FFD9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BD949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B9ADC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0E5DB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EC6D2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2BFA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9C672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EFF32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0FDB4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1A262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F41B9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931EB" w14:textId="521DBB86" w:rsidR="001460F8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FE5FC" w14:textId="4C16DA60" w:rsidR="00BE5389" w:rsidRDefault="00BE5389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468F2" w14:textId="40FADE1C" w:rsidR="00BE5389" w:rsidRDefault="00BE5389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7BBF9" w14:textId="56633D8F" w:rsidR="00BE5389" w:rsidRDefault="00BE5389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D8BC3" w14:textId="77777777" w:rsidR="00BE5389" w:rsidRPr="006441BD" w:rsidRDefault="00BE5389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CEACB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394CD" w14:textId="044931E1" w:rsidR="00956735" w:rsidRPr="006441BD" w:rsidRDefault="00956735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051AB" w14:textId="77777777" w:rsidR="00956735" w:rsidRPr="006441BD" w:rsidRDefault="00956735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1070B" w14:textId="77777777" w:rsidR="00E330F6" w:rsidRPr="006441BD" w:rsidRDefault="00E330F6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9D4C0" w14:textId="1C5B5E34" w:rsidR="005069E0" w:rsidRPr="006441BD" w:rsidRDefault="005069E0" w:rsidP="00BE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14:paraId="7523BC76" w14:textId="77777777" w:rsidR="005069E0" w:rsidRPr="006441BD" w:rsidRDefault="005069E0" w:rsidP="00BE538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Загальні показники надходження та розгляду справ і матеріалів усіх категорій.</w:t>
      </w:r>
    </w:p>
    <w:p w14:paraId="7701FEAA" w14:textId="77777777" w:rsidR="005069E0" w:rsidRPr="006441BD" w:rsidRDefault="00B57DE9" w:rsidP="00BE538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69E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озгляд судових справ кримінального провадження.</w:t>
      </w:r>
    </w:p>
    <w:p w14:paraId="2293AD15" w14:textId="47D0FC84" w:rsidR="005069E0" w:rsidRPr="006441BD" w:rsidRDefault="00B57DE9" w:rsidP="00BE538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судових</w:t>
      </w:r>
      <w:r w:rsidR="005620F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E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 провадження.</w:t>
      </w:r>
    </w:p>
    <w:p w14:paraId="1663B2B5" w14:textId="0C31E4B9" w:rsidR="005069E0" w:rsidRPr="006441BD" w:rsidRDefault="00B57DE9" w:rsidP="00BE538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r w:rsidR="00C1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судових </w:t>
      </w:r>
      <w:r w:rsidR="0095673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 адміністративного провадження.</w:t>
      </w:r>
    </w:p>
    <w:p w14:paraId="09CB8673" w14:textId="77777777" w:rsidR="00956735" w:rsidRPr="006441BD" w:rsidRDefault="00B57DE9" w:rsidP="00BE538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судових </w:t>
      </w:r>
      <w:r w:rsidR="0095673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 про адміністративні правопорушення.</w:t>
      </w:r>
    </w:p>
    <w:p w14:paraId="5FF1A232" w14:textId="77777777" w:rsidR="00956735" w:rsidRPr="006441BD" w:rsidRDefault="00956735" w:rsidP="00BE538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Висновок.</w:t>
      </w:r>
    </w:p>
    <w:p w14:paraId="53E84FC0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84EB2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FC340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25E1E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18615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19DA9" w14:textId="77777777" w:rsidR="001460F8" w:rsidRPr="006441BD" w:rsidRDefault="001460F8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A218E" w14:textId="77777777" w:rsidR="00956735" w:rsidRPr="006441BD" w:rsidRDefault="00956735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61129" w14:textId="77777777" w:rsidR="00956735" w:rsidRPr="006441BD" w:rsidRDefault="00956735" w:rsidP="00BE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8A1F4" w14:textId="0E6FA168" w:rsidR="00956735" w:rsidRDefault="00956735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FD0AB" w14:textId="074531AD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F6F93" w14:textId="0DB816F3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512C2" w14:textId="5CBD9C4E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23187" w14:textId="47D2F60A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5A9FD" w14:textId="3CC705E8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A7B90" w14:textId="70A30B77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BD15D" w14:textId="0C9B9D74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41540" w14:textId="56E0153C" w:rsidR="00BE5389" w:rsidRDefault="00BE5389" w:rsidP="00BE5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DDB28" w14:textId="77777777" w:rsidR="00B80F0D" w:rsidRDefault="00B80F0D" w:rsidP="00BE538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14239" w14:textId="77777777" w:rsidR="008E57D1" w:rsidRDefault="008E57D1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2261E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D8674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76F14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DC08A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E92E5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8B042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321D8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06E07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3B6D8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1EA82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19CA8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98324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60559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4D209" w14:textId="77777777" w:rsidR="00BE5389" w:rsidRDefault="00BE5389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4269B" w14:textId="7DAA8E0A" w:rsidR="00DD5BC0" w:rsidRPr="006441BD" w:rsidRDefault="004454C8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E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F8" w:rsidRPr="006441BD">
        <w:rPr>
          <w:rFonts w:ascii="Times New Roman" w:hAnsi="Times New Roman" w:cs="Times New Roman"/>
          <w:b/>
          <w:sz w:val="28"/>
          <w:szCs w:val="28"/>
        </w:rPr>
        <w:t>Загальні показники надходження та розгляду справ і матеріалів усіх</w:t>
      </w:r>
      <w:r w:rsidR="00DD5BC0" w:rsidRPr="006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F8" w:rsidRPr="006441BD">
        <w:rPr>
          <w:rFonts w:ascii="Times New Roman" w:hAnsi="Times New Roman" w:cs="Times New Roman"/>
          <w:b/>
          <w:sz w:val="28"/>
          <w:szCs w:val="28"/>
        </w:rPr>
        <w:t>категорій</w:t>
      </w:r>
    </w:p>
    <w:p w14:paraId="7EDCFBED" w14:textId="5ACC536C" w:rsidR="004A2AC8" w:rsidRPr="006441BD" w:rsidRDefault="004A2AC8" w:rsidP="00BE538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  <w:lang w:eastAsia="ar-SA"/>
        </w:rPr>
        <w:t xml:space="preserve">Місцеві </w:t>
      </w:r>
      <w:r w:rsidR="004A3234" w:rsidRPr="006441BD">
        <w:rPr>
          <w:rFonts w:ascii="Times New Roman" w:hAnsi="Times New Roman" w:cs="Times New Roman"/>
          <w:sz w:val="28"/>
          <w:szCs w:val="28"/>
          <w:lang w:eastAsia="ar-SA"/>
        </w:rPr>
        <w:t xml:space="preserve">загальні </w:t>
      </w:r>
      <w:r w:rsidRPr="006441BD">
        <w:rPr>
          <w:rFonts w:ascii="Times New Roman" w:hAnsi="Times New Roman" w:cs="Times New Roman"/>
          <w:sz w:val="28"/>
          <w:szCs w:val="28"/>
          <w:lang w:eastAsia="ar-SA"/>
        </w:rPr>
        <w:t xml:space="preserve">суди Івано-Франківської області </w:t>
      </w:r>
      <w:r w:rsidRPr="006441BD">
        <w:rPr>
          <w:rFonts w:ascii="Times New Roman" w:hAnsi="Times New Roman" w:cs="Times New Roman"/>
          <w:sz w:val="28"/>
          <w:szCs w:val="28"/>
        </w:rPr>
        <w:t>є судами першої інстанції, які розглядають цивільні, кримінальні, адміністративні справи, а також справи про адміністративні правопорушення у випадках та порядку, передбачених процесуальним законодавством.</w:t>
      </w:r>
    </w:p>
    <w:p w14:paraId="7EB99FAA" w14:textId="2D4993DA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Періодами статистичного спостереження здійснення правосуддя місцевими загальними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Івано-Франківської області (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далі суди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 є 20</w:t>
      </w:r>
      <w:r w:rsidR="00DB58F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20</w:t>
      </w:r>
      <w:r w:rsidR="004A2AC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роки.</w:t>
      </w:r>
    </w:p>
    <w:p w14:paraId="68B6E077" w14:textId="5043EA04" w:rsidR="005A6760" w:rsidRPr="005A6760" w:rsidRDefault="005A6760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загальна штатна чисельність суддів Івано</w:t>
      </w:r>
      <w:r w:rsidR="00DD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-Франківської області становить 104 судді, фактична чисельність</w:t>
      </w:r>
      <w:r w:rsidR="0089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судів, які здійснюють правосуддя</w:t>
      </w: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8818BD" w14:textId="63FBD104" w:rsidR="00DB66B5" w:rsidRPr="005867B7" w:rsidRDefault="00391F87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статистичних звітів місцевих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форами №№ 1-к,1-ц,</w:t>
      </w:r>
      <w:r w:rsidR="00E1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1-а,</w:t>
      </w:r>
      <w:r w:rsidR="00B3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1-п, 1-мзс,1-лт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, 1-єз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r w:rsidR="000857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надійшло 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76940</w:t>
      </w:r>
      <w:r w:rsidR="0002656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 та матеріал</w:t>
      </w:r>
      <w:r w:rsidR="00AD76D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66B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DB58F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D4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B66B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65AA">
        <w:rPr>
          <w:rFonts w:ascii="Times New Roman" w:eastAsia="Times New Roman" w:hAnsi="Times New Roman" w:cs="Times New Roman"/>
          <w:sz w:val="28"/>
          <w:szCs w:val="28"/>
          <w:lang w:eastAsia="ru-RU"/>
        </w:rPr>
        <w:t>54118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даний період спостерігається т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енденція до </w:t>
      </w:r>
      <w:r w:rsidR="000D4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65AA">
        <w:rPr>
          <w:rFonts w:ascii="Times New Roman" w:eastAsia="Times New Roman" w:hAnsi="Times New Roman" w:cs="Times New Roman"/>
          <w:sz w:val="28"/>
          <w:szCs w:val="28"/>
          <w:lang w:eastAsia="ru-RU"/>
        </w:rPr>
        <w:t>22822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Динаміку цих надходжень відображають показники, наведені в </w:t>
      </w:r>
      <w:r w:rsid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B66B5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аблиці №1.</w:t>
      </w:r>
    </w:p>
    <w:p w14:paraId="6B8E2D5F" w14:textId="32A85B63" w:rsidR="00DB66B5" w:rsidRPr="006441BD" w:rsidRDefault="00DB66B5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 №1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11"/>
        <w:gridCol w:w="3542"/>
        <w:gridCol w:w="1134"/>
        <w:gridCol w:w="992"/>
        <w:gridCol w:w="992"/>
        <w:gridCol w:w="1985"/>
      </w:tblGrid>
      <w:tr w:rsidR="008B77D4" w:rsidRPr="006441BD" w14:paraId="1DE2E835" w14:textId="77777777" w:rsidTr="008B77D4">
        <w:trPr>
          <w:trHeight w:val="146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8C93" w14:textId="77777777" w:rsidR="00DB66B5" w:rsidRPr="006441BD" w:rsidRDefault="00DB66B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AF00" w14:textId="2C06FBE0" w:rsidR="00DB66B5" w:rsidRPr="006441BD" w:rsidRDefault="005734F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Надходження справ до місцевих загальних судів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D6EF" w14:textId="35DD282A" w:rsidR="00E24ACA" w:rsidRPr="006441BD" w:rsidRDefault="00B26BE7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0D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4FF69DC4" w14:textId="51BF6ECE" w:rsidR="00DB66B5" w:rsidRPr="006441BD" w:rsidRDefault="00B26BE7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154" w14:textId="2E9BCD31" w:rsidR="00DB66B5" w:rsidRPr="006441BD" w:rsidRDefault="00B26BE7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0D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749" w14:textId="3A299F8A" w:rsidR="00DB66B5" w:rsidRPr="006441BD" w:rsidRDefault="00DB66B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26BE7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C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 у порівнянні до  20</w:t>
            </w:r>
            <w:r w:rsidR="00162662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C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7026E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року</w:t>
            </w:r>
          </w:p>
        </w:tc>
      </w:tr>
      <w:tr w:rsidR="005867B7" w:rsidRPr="006441BD" w14:paraId="60A80D07" w14:textId="77777777" w:rsidTr="008B77D4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72E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45F5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Кримінальні справи  та матеріали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E1B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8AD4" w14:textId="2BD2376F" w:rsidR="00E24ACA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99F" w14:textId="4A5C4C59" w:rsidR="00E24ACA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0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41A" w14:textId="7B4E73AE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+74</w:t>
            </w:r>
            <w:r w:rsidR="002E7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5867B7" w:rsidRPr="006441BD" w14:paraId="6AEEFB3B" w14:textId="77777777" w:rsidTr="008B77D4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F9A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CAA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7CE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FB4" w14:textId="76AF0427" w:rsidR="00E24ACA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9C5F" w14:textId="1252F9C3" w:rsidR="00E24ACA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 w:rsidR="00C0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C80" w14:textId="4B2782B5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+68</w:t>
            </w:r>
            <w:r w:rsidR="002E7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B77D4" w:rsidRPr="006441BD" w14:paraId="3B2F10E6" w14:textId="77777777" w:rsidTr="008B77D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F374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E11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Цивільні  справи і заяви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5CB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AA3" w14:textId="12346235" w:rsidR="00E24ACA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AA66" w14:textId="38EBCBAC" w:rsidR="00E24ACA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0D6F" w14:textId="24AF5917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+11</w:t>
            </w:r>
            <w:r w:rsidR="002E7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</w:t>
            </w:r>
          </w:p>
        </w:tc>
      </w:tr>
      <w:tr w:rsidR="008B77D4" w:rsidRPr="006441BD" w14:paraId="19DAFAF6" w14:textId="77777777" w:rsidTr="008B77D4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C87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9C5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347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D65" w14:textId="2A287ABF" w:rsidR="00E24ACA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63F" w14:textId="1462A1E7" w:rsidR="00E24ACA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E76" w14:textId="730A7E0D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861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4291</w:t>
            </w:r>
          </w:p>
        </w:tc>
      </w:tr>
      <w:tr w:rsidR="008B77D4" w:rsidRPr="006441BD" w14:paraId="348D161F" w14:textId="77777777" w:rsidTr="008B77D4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DE5" w14:textId="77777777" w:rsidR="009F2AEE" w:rsidRPr="006441BD" w:rsidRDefault="009F2AEE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B74" w14:textId="77777777" w:rsidR="009F2AEE" w:rsidRPr="006441BD" w:rsidRDefault="009F2AEE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Адміністративні справи і заяви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300" w14:textId="77777777" w:rsidR="009F2AEE" w:rsidRPr="006441BD" w:rsidRDefault="009F2AEE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E7C" w14:textId="74F48DF1" w:rsidR="009F2AEE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977" w14:textId="2EA71892" w:rsidR="009F2AEE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979" w14:textId="3B20B59B" w:rsidR="009F2AEE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</w:t>
            </w:r>
            <w:r w:rsidR="00861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B77D4" w:rsidRPr="006441BD" w14:paraId="6BC7A997" w14:textId="77777777" w:rsidTr="008B77D4">
        <w:trPr>
          <w:trHeight w:val="1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1D3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7F8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0766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9E2" w14:textId="4B5766BE" w:rsidR="00E24ACA" w:rsidRPr="006441BD" w:rsidRDefault="00520258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E72B" w14:textId="1C456F00" w:rsidR="00E24ACA" w:rsidRPr="006441BD" w:rsidRDefault="00800190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4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52E" w14:textId="2A557E6E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+45</w:t>
            </w:r>
          </w:p>
        </w:tc>
      </w:tr>
      <w:tr w:rsidR="008B77D4" w:rsidRPr="006441BD" w14:paraId="71414AAA" w14:textId="77777777" w:rsidTr="008B77D4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E490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58EE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 про адміністративні правопорушення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7C86" w14:textId="77777777" w:rsidR="00E24ACA" w:rsidRPr="006441BD" w:rsidRDefault="00E24ACA" w:rsidP="00BE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741" w14:textId="2F53B11F" w:rsidR="00E24ACA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C00" w14:textId="23208E83" w:rsidR="00E24ACA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6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C1B7" w14:textId="2CE01090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+3831</w:t>
            </w:r>
          </w:p>
        </w:tc>
      </w:tr>
      <w:tr w:rsidR="008B77D4" w:rsidRPr="006441BD" w14:paraId="74D57FDB" w14:textId="77777777" w:rsidTr="008B77D4">
        <w:trPr>
          <w:trHeight w:val="126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5D02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C4F" w14:textId="77777777" w:rsidR="00E24ACA" w:rsidRPr="006441BD" w:rsidRDefault="00E24AC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0971" w14:textId="77777777" w:rsidR="00E24ACA" w:rsidRPr="006441BD" w:rsidRDefault="00E24ACA" w:rsidP="00BE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E402" w14:textId="6626DF21" w:rsidR="00E24ACA" w:rsidRPr="006441BD" w:rsidRDefault="0091310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DCA" w14:textId="79BCA46B" w:rsidR="00E24ACA" w:rsidRPr="006441BD" w:rsidRDefault="000D42D5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003" w14:textId="2AE82C8C" w:rsidR="00E24ACA" w:rsidRPr="006441BD" w:rsidRDefault="0091310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+3818</w:t>
            </w:r>
          </w:p>
        </w:tc>
      </w:tr>
      <w:tr w:rsidR="008B77D4" w:rsidRPr="006441BD" w14:paraId="5781BD76" w14:textId="77777777" w:rsidTr="008B77D4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CC4" w14:textId="5F873291" w:rsidR="00E24ACA" w:rsidRPr="006441BD" w:rsidRDefault="004F0EA8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59C" w14:textId="77777777" w:rsidR="00E24ACA" w:rsidRPr="006441BD" w:rsidRDefault="00E24ACA" w:rsidP="00BE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 справ і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0350" w14:textId="77777777" w:rsidR="00E24ACA" w:rsidRPr="006441BD" w:rsidRDefault="00E24ACA" w:rsidP="00BE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CC09" w14:textId="7B0C9576" w:rsidR="00E24ACA" w:rsidRPr="006441BD" w:rsidRDefault="002A0566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30B" w14:textId="1602896D" w:rsidR="00E24ACA" w:rsidRPr="006441BD" w:rsidRDefault="002A0566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EBAB" w14:textId="097FF965" w:rsidR="00E24ACA" w:rsidRPr="006441BD" w:rsidRDefault="0021462B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B77D4" w:rsidRPr="006441BD" w14:paraId="625E4D02" w14:textId="77777777" w:rsidTr="008B77D4">
        <w:trPr>
          <w:trHeight w:val="4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681" w14:textId="60ABC69B" w:rsidR="009F2AEE" w:rsidRPr="006441BD" w:rsidRDefault="009F2AEE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625" w14:textId="77777777" w:rsidR="009F2AEE" w:rsidRPr="006441BD" w:rsidRDefault="009F2AEE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ADFE" w14:textId="1663CD5E" w:rsidR="009F2AEE" w:rsidRPr="006441BD" w:rsidRDefault="009F2AEE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92F" w14:textId="67B63877" w:rsidR="009F2AEE" w:rsidRPr="006441BD" w:rsidRDefault="00A06E86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DF4" w14:textId="77DF0698" w:rsidR="009F2AEE" w:rsidRPr="006441BD" w:rsidRDefault="000D42D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611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979" w14:textId="06426C0E" w:rsidR="009F2AEE" w:rsidRPr="006441BD" w:rsidRDefault="008612B6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92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22822</w:t>
            </w:r>
          </w:p>
        </w:tc>
      </w:tr>
    </w:tbl>
    <w:p w14:paraId="4E82E339" w14:textId="77777777" w:rsidR="005867B7" w:rsidRDefault="005867B7" w:rsidP="00BE53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8EDB22E" w14:textId="31E237C9" w:rsidR="00B52A84" w:rsidRPr="006441BD" w:rsidRDefault="004454C8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11B1C" w:rsidRPr="006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судових справ кримінального провадження</w:t>
      </w:r>
      <w:r w:rsidR="00B52A8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C238F" w14:textId="4F831E0A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провадженні судів першої інстанції у звітному періоді знаходилось на розгляді 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5313</w:t>
      </w:r>
      <w:r w:rsidR="004F787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</w:t>
      </w:r>
      <w:r w:rsidR="000B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нового процесуального кодексу України. За старим КПК у місцевих судах перебувало</w:t>
      </w:r>
      <w:r w:rsidR="00BE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кримінальних </w:t>
      </w:r>
      <w:r w:rsidR="00D6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7D05E8" w14:textId="238B8DF6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 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у провадженні судів перебувало (з урахуванням залишку на початку року) </w:t>
      </w:r>
      <w:r w:rsidR="00A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5325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кримінальн</w:t>
      </w:r>
      <w:r w:rsidR="00D006A1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справ, проваджень.</w:t>
      </w:r>
    </w:p>
    <w:p w14:paraId="745870C4" w14:textId="0B83A332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закінчено 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3111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2741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CF6BC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45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кримінальн</w:t>
      </w:r>
      <w:r w:rsidR="000F05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B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0F05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 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2235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B2300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444B6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 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72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EE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2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2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розг</w:t>
      </w:r>
      <w:r w:rsidR="003377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лянуто з постановленням </w:t>
      </w:r>
      <w:proofErr w:type="spellStart"/>
      <w:r w:rsidR="003377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вироку</w:t>
      </w:r>
      <w:proofErr w:type="spellEnd"/>
      <w:r w:rsidR="00C452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7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B23009">
        <w:rPr>
          <w:rFonts w:ascii="Times New Roman" w:eastAsia="Times New Roman" w:hAnsi="Times New Roman" w:cs="Times New Roman"/>
          <w:sz w:val="28"/>
          <w:szCs w:val="28"/>
          <w:lang w:eastAsia="ru-RU"/>
        </w:rPr>
        <w:t>26,5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D6294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 </w:t>
      </w:r>
      <w:r w:rsidR="0055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F0E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із закриттям провадження, що відображено в </w:t>
      </w:r>
      <w:r w:rsidR="00586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1.</w:t>
      </w:r>
    </w:p>
    <w:p w14:paraId="767BC8CE" w14:textId="4107CF46" w:rsidR="00DB66B5" w:rsidRPr="0021268F" w:rsidRDefault="00DB66B5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Діаграма №1</w:t>
      </w:r>
    </w:p>
    <w:p w14:paraId="11FAA269" w14:textId="4B74B10E" w:rsidR="000F52D0" w:rsidRPr="006441BD" w:rsidRDefault="0012100B" w:rsidP="00BE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78F6F0DA" wp14:editId="56C846F8">
            <wp:extent cx="6159795" cy="4097020"/>
            <wp:effectExtent l="0" t="0" r="12700" b="17780"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F52D0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41DF0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14:paraId="3B684590" w14:textId="77777777" w:rsidR="0012100B" w:rsidRDefault="0012100B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E475" w14:textId="1A184885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структурі розгля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нутих кримінальних проваджень перева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F28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ють злочини проти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 та здоров'я особи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становлять 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1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45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1FB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F4B2F" w:rsidRPr="00896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2ED" w:rsidRPr="008963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від загальної кількості справ, провадження яких закінчено. Більша половина злочинів проти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життя та здоров'я особи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B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0F05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F4B2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1D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це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умисне легке тілесне ушкодження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75943" w14:textId="271D8796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 кількість кримінальних проваджень, які розглянуто, становлять</w:t>
      </w:r>
      <w:r w:rsidR="0059218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злочини проти життя та здоров’я особи – </w:t>
      </w:r>
      <w:r w:rsidR="002200D6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="0059218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1B2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8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 –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213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D8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7453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 безпеки руху та експлуатації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453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2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53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731D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53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сфері наркотичних засобів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731D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r w:rsidR="00A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національної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безпеки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="009C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20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22ED" w:rsidRPr="000C6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3B2" w:rsidRPr="000C6DF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40720A" w:rsidRPr="000C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2ED" w:rsidRPr="000C6D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DFC" w:rsidRPr="000C6DF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40720A" w:rsidRPr="000C6DFC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40720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відображено в </w:t>
      </w:r>
      <w:r w:rsidR="00E16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2.</w:t>
      </w:r>
    </w:p>
    <w:p w14:paraId="3F41057A" w14:textId="7777F1FF" w:rsidR="00E16129" w:rsidRDefault="00E16129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1B86C8" w14:textId="7E8FD0C0" w:rsidR="00046523" w:rsidRDefault="00046523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</w:t>
      </w:r>
      <w:r w:rsidR="004E4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2</w:t>
      </w:r>
    </w:p>
    <w:p w14:paraId="6927C273" w14:textId="5428E327" w:rsidR="00DB66B5" w:rsidRPr="006441BD" w:rsidRDefault="004454C8" w:rsidP="00BE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187897A" wp14:editId="7C25DC12">
            <wp:extent cx="5915025" cy="5067300"/>
            <wp:effectExtent l="0" t="0" r="9525" b="0"/>
            <wp:docPr id="10" name="Діаграма 10">
              <a:extLst xmlns:a="http://schemas.openxmlformats.org/drawingml/2006/main">
                <a:ext uri="{FF2B5EF4-FFF2-40B4-BE49-F238E27FC236}">
                  <a16:creationId xmlns:a16="http://schemas.microsoft.com/office/drawing/2014/main" id="{6855B425-3D50-48DA-976F-407AC0492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5BA605" w14:textId="77777777" w:rsidR="00DB66B5" w:rsidRPr="006441BD" w:rsidRDefault="00DB66B5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F5B85" w14:textId="36130BA4" w:rsidR="00F50CB0" w:rsidRPr="006441BD" w:rsidRDefault="00D513B2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році </w:t>
      </w:r>
      <w:r w:rsidR="00F50CB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судів надійшло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F50CB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50CB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0CB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основ національної безпеки України. Із них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посягання територіальн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цілісн</w:t>
      </w:r>
      <w:r w:rsidR="00F0302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недоторка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</w:t>
      </w:r>
      <w:r w:rsid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0CB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дії спрямовані на насильницьку зміну чи повалення конституційного ладу або на захоплення державної влади, </w:t>
      </w:r>
      <w:r w:rsidR="00B3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50CB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державна зрада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колабораційна</w:t>
      </w:r>
      <w:proofErr w:type="spellEnd"/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7033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пособництво</w:t>
      </w:r>
      <w:r w:rsidR="0093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r w:rsidR="000C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агресора</w:t>
      </w:r>
      <w:r w:rsid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B4D" w:rsidRPr="004D7B4D">
        <w:t xml:space="preserve"> </w:t>
      </w:r>
      <w:r w:rsidR="00F14019">
        <w:rPr>
          <w:rFonts w:ascii="Times New Roman" w:hAnsi="Times New Roman" w:cs="Times New Roman"/>
          <w:sz w:val="28"/>
          <w:szCs w:val="28"/>
        </w:rPr>
        <w:t>1</w:t>
      </w:r>
      <w:r w:rsidR="008173E9">
        <w:rPr>
          <w:rFonts w:ascii="Times New Roman" w:hAnsi="Times New Roman" w:cs="Times New Roman"/>
          <w:sz w:val="28"/>
          <w:szCs w:val="28"/>
        </w:rPr>
        <w:t xml:space="preserve"> </w:t>
      </w:r>
      <w:r w:rsidR="00F1401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0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D7B4D" w:rsidRP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інансування дій, вчинених з метою насильницької зміни чи повалення конституційного ладу або захоплення державної влади, зміни меж території або державного кордону України</w:t>
      </w:r>
      <w:r w:rsid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B4D" w:rsidRPr="004D7B4D">
        <w:t xml:space="preserve"> </w:t>
      </w:r>
      <w:r w:rsidR="00F14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01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4D7B4D" w:rsidRP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пигунство</w:t>
      </w:r>
      <w:r w:rsid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1401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B4D" w:rsidRP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ерешкоджання законній діяльності Збройних Сил України та інших військових формувань</w:t>
      </w:r>
      <w:r w:rsid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B4D" w:rsidRPr="004D7B4D">
        <w:t xml:space="preserve"> </w:t>
      </w:r>
      <w:r w:rsidR="00B3462F">
        <w:t xml:space="preserve">                       </w:t>
      </w:r>
      <w:r w:rsidR="005A7F27" w:rsidRPr="005A7F27">
        <w:rPr>
          <w:rFonts w:ascii="Times New Roman" w:hAnsi="Times New Roman" w:cs="Times New Roman"/>
          <w:sz w:val="28"/>
          <w:szCs w:val="28"/>
        </w:rPr>
        <w:t>2</w:t>
      </w:r>
      <w:r w:rsidR="00F14019">
        <w:t xml:space="preserve"> </w:t>
      </w:r>
      <w:r w:rsidR="00F1401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D7B4D" w:rsidRPr="004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есанкціоноване поширення інформації про направлення, переміщення зброї, озброєння, боєприпасів в Україну</w:t>
      </w:r>
      <w:r w:rsidR="00F1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83A852" w14:textId="1ACE0BBE" w:rsidR="00C563FD" w:rsidRPr="006441BD" w:rsidRDefault="00F50CB0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 кількість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проваджень,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знаходились на розгляді в 202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із урахування залишку 202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 провадження проти встановленого порядку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несення військової служби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Ухилення від військової служби становить 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C17B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F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І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самовільне залишення військової частини, </w:t>
      </w:r>
      <w:r w:rsidR="00844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дезертирство. </w:t>
      </w:r>
    </w:p>
    <w:p w14:paraId="453006E7" w14:textId="220EFC01" w:rsidR="00BB181A" w:rsidRPr="006441BD" w:rsidRDefault="00444D8D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Кримінальні провадження проти миру, безпеки людства та міжнародного правопорядку</w:t>
      </w:r>
      <w:r w:rsidR="00BB18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7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8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A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B18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C17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18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виготовлення, поширення комуністичної, нацистської</w:t>
      </w:r>
      <w:r w:rsidR="0063256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56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символіки та пропаганди комуністичного та націонал</w:t>
      </w:r>
      <w:r w:rsidR="0011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56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соціалістичного тоталітарних режимів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виправдовування</w:t>
      </w:r>
      <w:proofErr w:type="spellEnd"/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визнання правомірною, заперечення збройної агресії </w:t>
      </w:r>
      <w:r w:rsidR="00955A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осійської </w:t>
      </w:r>
      <w:r w:rsidR="00955A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едерації проти України, </w:t>
      </w:r>
      <w:proofErr w:type="spellStart"/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глорифікація</w:t>
      </w:r>
      <w:proofErr w:type="spellEnd"/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</w:t>
      </w:r>
      <w:r w:rsidR="00B3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FA33C" w14:textId="4301EF87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розгляді в судах перебувал</w:t>
      </w:r>
      <w:r w:rsidR="000857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кримінальних проваджень </w:t>
      </w:r>
      <w:r w:rsidR="009A61A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злочини щодо легалізації (відмивання) доходів, одержаних злочинним шляхом, фінансування тероризму та фінансування розповсюдження зброї масового знищення 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761EF0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E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 (провадженнях) не розглянут</w:t>
      </w:r>
      <w:r w:rsidR="00FD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C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січня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6B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6B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62651" w14:textId="722CC58A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в судах перебувало на розгляді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</w:t>
      </w:r>
      <w:r w:rsidR="00D269A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6C1C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6C784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скоїли злочини у складі організованої групи. Розглянуто</w:t>
      </w:r>
      <w:r w:rsidR="006C784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кримінальних проваджень</w:t>
      </w:r>
      <w:r w:rsidR="004C4E3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E3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ідносно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визнано такими, що скоїли злочини у складі організованої групи.</w:t>
      </w:r>
    </w:p>
    <w:p w14:paraId="5778AC05" w14:textId="7305F4CC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вироками</w:t>
      </w:r>
      <w:proofErr w:type="spellEnd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набрали і не набрали на кінець звітного періоду законної сили, засуджено (з урахуванням статей 69,70,71 КК України) до різних видів покарання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2285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7770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Загальна кількість виправданих становить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4C4E3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14:paraId="4B6C174E" w14:textId="67D8DB66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судового розгляду кримінальних проваджень звільнено </w:t>
      </w:r>
      <w:r w:rsidR="003B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з-під варти із залу судового засідання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3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зято під варту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6F73B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що на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ніж в 20</w:t>
      </w:r>
      <w:r w:rsidR="008841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році.</w:t>
      </w:r>
    </w:p>
    <w:p w14:paraId="0CC6DCDD" w14:textId="7A897D66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 січня 20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залишилося нерозглянутими </w:t>
      </w:r>
      <w:r w:rsidR="00CD1B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кримінальних проваджень або </w:t>
      </w:r>
      <w:r w:rsidR="00EA0CE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72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загального числа тих, що перебували в провадженні судів упродовж звітного періоду.</w:t>
      </w:r>
    </w:p>
    <w:p w14:paraId="40F66A7B" w14:textId="35680A96" w:rsidR="007E03E6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зазначити, що не розглянуто проваджень понад 6 місяців до 1 року –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понад 1 рік до 2 років –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понад 2 роки –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76B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</w:t>
      </w:r>
      <w:r w:rsidR="009A1A9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9A1A9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зупинено</w:t>
      </w:r>
      <w:proofErr w:type="spellEnd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2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03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0379E" w:rsidRPr="003037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відображено</w:t>
      </w:r>
      <w:r w:rsidRPr="003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6129" w:rsidRPr="00894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3.</w:t>
      </w:r>
    </w:p>
    <w:p w14:paraId="3F1E6872" w14:textId="669514B7" w:rsidR="00B32FA2" w:rsidRPr="006441BD" w:rsidRDefault="00046523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</w:t>
      </w:r>
      <w:r w:rsidR="004E4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14:paraId="3F8C8BE6" w14:textId="076B95A4" w:rsidR="004454C8" w:rsidRPr="006441BD" w:rsidRDefault="006441BD" w:rsidP="00BE5389">
      <w:pPr>
        <w:tabs>
          <w:tab w:val="left" w:pos="4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inline distT="0" distB="0" distL="0" distR="0" wp14:anchorId="08138A5C" wp14:editId="08713C68">
            <wp:extent cx="6138530" cy="3636010"/>
            <wp:effectExtent l="0" t="0" r="15240" b="254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CA586FD-6B9D-439F-B1ED-41C15288E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D87DC6" w14:textId="1A62FB22" w:rsidR="00B52A84" w:rsidRPr="006441BD" w:rsidRDefault="004454C8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52A84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судових 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34DE1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цивільного провадження.</w:t>
      </w:r>
    </w:p>
    <w:p w14:paraId="3B5CBDF3" w14:textId="648A90ED" w:rsidR="00491907" w:rsidRDefault="00A84A70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</w:t>
      </w:r>
      <w:r w:rsidR="009D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загальними 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11095</w:t>
      </w:r>
      <w:r w:rsidR="009E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E3A2E">
        <w:rPr>
          <w:rFonts w:ascii="Times New Roman" w:eastAsia="Times New Roman" w:hAnsi="Times New Roman" w:cs="Times New Roman"/>
          <w:sz w:val="28"/>
          <w:szCs w:val="28"/>
          <w:lang w:eastAsia="ru-RU"/>
        </w:rPr>
        <w:t>(4850</w:t>
      </w:r>
      <w:r w:rsidR="003E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7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A2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рік)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 про видачу судового наказу. З них видано 7440 судових наказів, відмовлено у видачі судового наказу</w:t>
      </w:r>
      <w:r w:rsidR="0029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>3555.</w:t>
      </w:r>
      <w:r w:rsid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грошових коштів, яка </w:t>
      </w:r>
      <w:proofErr w:type="spellStart"/>
      <w:r w:rsid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spellEnd"/>
      <w:r w:rsidR="00491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явлена для стягнення складає 88578442 грн., а підлягає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стягненню 53232205 грн. </w:t>
      </w:r>
    </w:p>
    <w:p w14:paraId="4D0B0376" w14:textId="4CE3F06A" w:rsidR="005D3C5C" w:rsidRDefault="00491907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Найбільшу кількість становлять: </w:t>
      </w:r>
      <w:r w:rsidRP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 заборгованості за оплату житлово-комунальних послуг, телекомунікаційних послуг, послуг телебачення та радіомовлення з урахуванням індексу інфляції та трьох</w:t>
      </w:r>
      <w:r w:rsidR="005D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 річних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нарахованих заявником на суму заборгованості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10525</w:t>
      </w:r>
      <w:r w:rsidR="009E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(4274 </w:t>
      </w:r>
      <w:r w:rsidR="0004582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A2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рік)</w:t>
      </w:r>
      <w:r w:rsidR="008C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141BA9" w14:textId="6815FF60" w:rsidR="005D3C5C" w:rsidRDefault="005D3C5C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розглянутих судових заяв про скасування судового наказу</w:t>
      </w:r>
      <w:r w:rsidR="0029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яких 52 заяви повер</w:t>
      </w:r>
      <w:r w:rsidR="007658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3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6F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349 судових наказів скасовано.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177F0BA" w14:textId="5F413618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2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році в провадженні судів перебувало 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5778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3722</w:t>
      </w:r>
      <w:r w:rsidR="00045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26F19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 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позовного 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CE2" w:rsidRPr="004A39E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A39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148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A0C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="0085233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ніж у попередньому періоді.</w:t>
      </w:r>
    </w:p>
    <w:p w14:paraId="6BB2023E" w14:textId="02B85D59" w:rsidR="007E03E6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кількість справ, провадження яких закінчено, склала </w:t>
      </w:r>
      <w:r w:rsidR="005548C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1721</w:t>
      </w:r>
      <w:r w:rsidR="00B3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0275</w:t>
      </w:r>
      <w:r w:rsidR="0054661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46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яких: 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10194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9020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з ухваленням рішення, (із них з задоволенням позову – 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9576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310</w:t>
      </w:r>
      <w:r w:rsidR="00045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582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308E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C530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закрито; 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E183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843</w:t>
      </w:r>
      <w:r w:rsidR="00045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03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залишенням заяви без розгляду; 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17C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A7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="001349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за підсудністю в інші суди, що відображено в </w:t>
      </w:r>
      <w:r w:rsidR="006441BD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</w:t>
      </w:r>
      <w:r w:rsidR="00850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E37FD7" w:rsidRPr="00107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87658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DB3549" w14:textId="77777777" w:rsidR="00850A57" w:rsidRDefault="00850A57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A48A8B" w14:textId="221BFD90" w:rsidR="00DB66B5" w:rsidRDefault="00DB66B5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Діаграма №4</w:t>
      </w:r>
    </w:p>
    <w:p w14:paraId="35557F8F" w14:textId="2F40C939" w:rsidR="00E16129" w:rsidRDefault="00E16129" w:rsidP="00BE53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рік       </w:t>
      </w:r>
    </w:p>
    <w:p w14:paraId="63746BDE" w14:textId="77777777" w:rsidR="00850A57" w:rsidRPr="006441BD" w:rsidRDefault="00850A57" w:rsidP="00BE538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16BB16" w14:textId="7F8FA943" w:rsidR="00DB66B5" w:rsidRPr="006441BD" w:rsidRDefault="006441BD" w:rsidP="00BE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11F2565" wp14:editId="3E598126">
            <wp:extent cx="5895975" cy="4114800"/>
            <wp:effectExtent l="0" t="0" r="9525" b="0"/>
            <wp:docPr id="11" name="Діаграма 11">
              <a:extLst xmlns:a="http://schemas.openxmlformats.org/drawingml/2006/main">
                <a:ext uri="{FF2B5EF4-FFF2-40B4-BE49-F238E27FC236}">
                  <a16:creationId xmlns:a16="http://schemas.microsoft.com/office/drawing/2014/main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B66B5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140E16" w14:textId="3C29FE8E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6CAEF43B" w14:textId="73AECF47" w:rsidR="004454C8" w:rsidRPr="006441BD" w:rsidRDefault="004454C8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F6EC5"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6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14:paraId="6521DA3B" w14:textId="523CA152" w:rsidR="004454C8" w:rsidRPr="006441BD" w:rsidRDefault="00B94E6B" w:rsidP="00BE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441B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52DFB9FD" wp14:editId="7DD138D0">
            <wp:extent cx="5915025" cy="3857625"/>
            <wp:effectExtent l="0" t="0" r="9525" b="9525"/>
            <wp:docPr id="13" name="Діаграма 13">
              <a:extLst xmlns:a="http://schemas.openxmlformats.org/drawingml/2006/main">
                <a:ext uri="{FF2B5EF4-FFF2-40B4-BE49-F238E27FC236}">
                  <a16:creationId xmlns:a16="http://schemas.microsoft.com/office/drawing/2014/main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14:paraId="7027A5C1" w14:textId="75E1D128" w:rsidR="00E16129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розглянутих у 20</w:t>
      </w:r>
      <w:r w:rsidR="00034D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9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– </w:t>
      </w:r>
      <w:r w:rsidR="00F15E30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172</w:t>
      </w:r>
      <w:r w:rsidR="006E6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0275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0A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найбільшу кількість становлять спори, що виникають із сімейних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правовідносин – </w:t>
      </w:r>
      <w:r w:rsidR="00D5533B">
        <w:rPr>
          <w:rFonts w:ascii="Times New Roman" w:eastAsia="Times New Roman" w:hAnsi="Times New Roman" w:cs="Times New Roman"/>
          <w:sz w:val="28"/>
          <w:szCs w:val="28"/>
          <w:lang w:eastAsia="ru-RU"/>
        </w:rPr>
        <w:t>6034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5116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 із договірних право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33B">
        <w:rPr>
          <w:rFonts w:ascii="Times New Roman" w:eastAsia="Times New Roman" w:hAnsi="Times New Roman" w:cs="Times New Roman"/>
          <w:sz w:val="28"/>
          <w:szCs w:val="28"/>
          <w:lang w:eastAsia="ru-RU"/>
        </w:rPr>
        <w:t>2787</w:t>
      </w:r>
      <w:r w:rsidR="00F15E3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2213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відносин спадкування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33B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737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5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відображено в </w:t>
      </w:r>
      <w:r w:rsidR="00E16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5.</w:t>
      </w:r>
      <w:r w:rsidR="00DF4162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916202" w14:textId="77777777" w:rsidR="00850A57" w:rsidRDefault="00850A57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FCB856D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3E2AE9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A6E392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C408E4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04608B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B8058A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469DBF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030BAC9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58DE38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A8D0E1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27C1851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4A759C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82B957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EFFDB27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CDD77B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DD7A67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B480F9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FA42FC" w14:textId="77777777" w:rsidR="004D08AF" w:rsidRDefault="004D08AF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448CF02" w14:textId="53C497A4" w:rsidR="00DB66B5" w:rsidRPr="006441BD" w:rsidRDefault="00DB66B5" w:rsidP="00BE53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Діаграма №5</w:t>
      </w:r>
    </w:p>
    <w:p w14:paraId="123A2944" w14:textId="3C138102" w:rsidR="006A2CE5" w:rsidRPr="006441BD" w:rsidRDefault="005D2728" w:rsidP="00BE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48F268" wp14:editId="7321E3B7">
            <wp:extent cx="5924550" cy="3914775"/>
            <wp:effectExtent l="0" t="0" r="0" b="9525"/>
            <wp:docPr id="15" name="Діаграма 15">
              <a:extLst xmlns:a="http://schemas.openxmlformats.org/drawingml/2006/main">
                <a:ext uri="{FF2B5EF4-FFF2-40B4-BE49-F238E27FC236}">
                  <a16:creationId xmlns:a16="http://schemas.microsoft.com/office/drawing/2014/main" id="{7890CFD2-4BFB-4D93-846A-DF99C3C832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CFBF86" w14:textId="0DFBD84A" w:rsidR="00692726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 судах перебувало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2398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293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1638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93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окремого 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 Із них розглянуто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0E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ухваленням рішення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0E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задоволенням </w:t>
      </w:r>
      <w:r w:rsidR="000E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F33B7D" w14:textId="2E90565C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окремого провадження судами у звітному періоді розглянуто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8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0A78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58A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93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322</w:t>
      </w:r>
      <w:r w:rsidR="004976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938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найбільшу кількість становлять справи про встановлення фактів, що мають юридичне значення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1085</w:t>
      </w:r>
      <w:r w:rsidR="00F308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</w:t>
      </w:r>
      <w:r w:rsidR="004976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B3149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308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94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B314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справи про 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B314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93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="00955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справи, що виникають із сімейних правовідносин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B314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справи про надання психіатричної допомоги у примусовому порядку </w:t>
      </w:r>
      <w:r w:rsidR="00753AC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53AC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CF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(66 </w:t>
      </w:r>
      <w:r w:rsidR="00753AC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3ACF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03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45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3ACF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="00753AC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B3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53AC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E1302" w14:textId="40CBE344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Судами розглянуто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C0249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усиновлення дітей, в тому числі із ухваленням рішення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3D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задоволено. Із числа задоволених рішень по усиновленню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D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дівч</w:t>
      </w:r>
      <w:r w:rsidR="009D07C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C2373" w14:textId="22985E52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справах </w:t>
      </w:r>
      <w:r w:rsidR="005A08C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 судочинства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відкладено </w:t>
      </w:r>
      <w:r w:rsidR="00F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1434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найбільшу кількість становлять: через неявку </w:t>
      </w:r>
      <w:r w:rsidR="00C0249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з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процесу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265</w:t>
      </w:r>
      <w:r w:rsidR="007F56F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90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D17C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в тому числі: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невручення судових повісток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підстав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240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неявку інших учасників процесу – 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A7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рік).</w:t>
      </w:r>
    </w:p>
    <w:p w14:paraId="4F989FA9" w14:textId="5147A26D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A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справ, які відкладено понад 6 місяців до </w:t>
      </w:r>
      <w:r w:rsidR="00DC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року становить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631F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B6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B6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A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понад 1 рік до 2 років – </w:t>
      </w:r>
      <w:r w:rsidR="00CB631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B6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219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C5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понад 2 роки – </w:t>
      </w:r>
      <w:r w:rsidR="00CB631F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B6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B6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C5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AD0C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1331F" w14:textId="10BCD2DE" w:rsidR="009F0C53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кінець звітного періоду залишились нерозглянутими </w:t>
      </w:r>
      <w:r w:rsidR="0084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B631F">
        <w:rPr>
          <w:rFonts w:ascii="Times New Roman" w:eastAsia="Times New Roman" w:hAnsi="Times New Roman" w:cs="Times New Roman"/>
          <w:sz w:val="28"/>
          <w:szCs w:val="28"/>
          <w:lang w:eastAsia="ru-RU"/>
        </w:rPr>
        <w:t>4588</w:t>
      </w:r>
      <w:r w:rsidR="006214E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0A78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позовного та окремого (без урахування клопотань) або </w:t>
      </w:r>
      <w:r w:rsidR="00C765B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від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усіх, що перебували в провадженні протягом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3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B6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6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23%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Слід зазначити, що </w:t>
      </w:r>
      <w:r w:rsidR="00CB631F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0A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C36A5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4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розглянуто з порушенням встановлених ЦПК.</w:t>
      </w:r>
    </w:p>
    <w:p w14:paraId="014ABB66" w14:textId="22991E44" w:rsidR="00DB66B5" w:rsidRPr="006D0DEF" w:rsidRDefault="00956735" w:rsidP="00BE538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52A84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судових справ адміністративного провадження. </w:t>
      </w:r>
    </w:p>
    <w:p w14:paraId="2B03DC19" w14:textId="0BE4C600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судах перебувало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5EC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8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551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83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адміністративни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позов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розглянуто –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39B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повернуто –</w:t>
      </w:r>
      <w:r w:rsidR="009E246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B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відмовлено у відкритті провадження – </w:t>
      </w:r>
      <w:r w:rsidR="00683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відкрито провадження 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21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B9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05741" w14:textId="4382DE48" w:rsidR="00AB3D3C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на розгляді в судах перебувало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10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717F71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них розглянуто – </w:t>
      </w:r>
      <w:r w:rsidR="002B797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410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B6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0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73A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0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рік).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Найбільшу кількість становлять: </w:t>
      </w:r>
      <w:r w:rsidR="00FB6150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1A710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FB615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C36A5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0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0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 зі спорів з приводу забезпечення громадського порядку та безпеки;</w:t>
      </w:r>
      <w:r w:rsidR="00D5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F2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3,4 % ( 5</w:t>
      </w:r>
      <w:r w:rsid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3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рік) </w:t>
      </w:r>
      <w:r w:rsidR="0076683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30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захисту політичних (крім виборчих) та громадських справ</w:t>
      </w:r>
      <w:r w:rsid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F85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57CB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F21F85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7CB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9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457CB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21F85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</w:t>
      </w:r>
      <w:r w:rsidR="003457CB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57CB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404106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457CB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="00226988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6988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 з</w:t>
      </w:r>
      <w:r w:rsidR="00F21F85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88" w:rsidRPr="00766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приводу реалізації державної політики у сфері економіки та публічної  фінансової політики</w:t>
      </w:r>
      <w:r w:rsidR="003457CB" w:rsidRPr="0076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1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іаграма №6.</w:t>
      </w:r>
    </w:p>
    <w:p w14:paraId="776D96C1" w14:textId="77777777" w:rsidR="00B80F0D" w:rsidRDefault="00B80F0D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E4B736" w14:textId="77777777" w:rsidR="00850A57" w:rsidRDefault="00850A57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5C1194" w14:textId="77777777" w:rsidR="00850A57" w:rsidRDefault="00850A57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C5F6B44" w14:textId="77777777" w:rsidR="00850A57" w:rsidRDefault="00850A57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FA93FFE" w14:textId="77777777" w:rsidR="00850A57" w:rsidRDefault="00850A57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A8775FA" w14:textId="23A302A5" w:rsidR="00B80F0D" w:rsidRDefault="00D034C1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</w:t>
      </w:r>
      <w:r w:rsidR="004E4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14:paraId="7AE813E9" w14:textId="71E79975" w:rsidR="00DB66B5" w:rsidRPr="006441BD" w:rsidRDefault="006D0DEF" w:rsidP="00BE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E7F43B4" wp14:editId="5CA071FF">
            <wp:extent cx="5924550" cy="4752975"/>
            <wp:effectExtent l="0" t="0" r="0" b="9525"/>
            <wp:docPr id="16" name="Діаграма 16">
              <a:extLst xmlns:a="http://schemas.openxmlformats.org/drawingml/2006/main">
                <a:ext uri="{FF2B5EF4-FFF2-40B4-BE49-F238E27FC236}">
                  <a16:creationId xmlns:a16="http://schemas.microsoft.com/office/drawing/2014/main" id="{C983BEA3-111F-421B-B52E-49F972263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025898" w14:textId="3B879665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розглянуто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адміністративного провадження, з них: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із прийняттям постанови (із задоволенням позову –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із закриттям провадження у справі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залишенням заяви без розгляду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передано в інші суди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F0D8713" w14:textId="26391360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Залишилось нерозглянутих на кінець 20</w:t>
      </w:r>
      <w:r w:rsidR="0018704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5F1D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1D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адміністративного провадження, із них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проваджень, яких </w:t>
      </w:r>
      <w:proofErr w:type="spellStart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зупинено</w:t>
      </w:r>
      <w:proofErr w:type="spellEnd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03C529" w14:textId="298186C4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справах адміністративного провадження відкладено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90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59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="0039371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причинами відкладення адміністративних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 неявка однієї із сторін або будь-кого з інших учасників процесу, що беруть участь у справі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0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50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C50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</w:t>
      </w:r>
      <w:r w:rsidR="009C50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тому числі: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невручення судових </w:t>
      </w:r>
      <w:r w:rsidR="0039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повісток –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підстав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E7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рік).</w:t>
      </w:r>
    </w:p>
    <w:p w14:paraId="0CAF86E5" w14:textId="2A9A56DA" w:rsidR="00DB66B5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судах протягом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справ, розгляд яких відкладено понад 6 місяців до 1 року становить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понад 1 рік до 2 років –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 </w:t>
      </w:r>
      <w:r w:rsidR="00C830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– </w:t>
      </w:r>
      <w:r w:rsidR="004E7D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066170" w14:textId="69C2FC37" w:rsidR="00DB66B5" w:rsidRPr="006D0DEF" w:rsidRDefault="006D0DEF" w:rsidP="00BE538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D0DEF">
        <w:rPr>
          <w:rFonts w:ascii="Times New Roman" w:hAnsi="Times New Roman" w:cs="Times New Roman"/>
          <w:b/>
          <w:sz w:val="28"/>
          <w:szCs w:val="28"/>
        </w:rPr>
        <w:t>розгляд судових справ про адміністративні правопорушення</w:t>
      </w:r>
      <w:r w:rsidR="00956735" w:rsidRPr="006D0DEF">
        <w:rPr>
          <w:rFonts w:ascii="Times New Roman" w:hAnsi="Times New Roman" w:cs="Times New Roman"/>
          <w:b/>
          <w:sz w:val="28"/>
          <w:szCs w:val="28"/>
        </w:rPr>
        <w:t>.</w:t>
      </w:r>
    </w:p>
    <w:p w14:paraId="46D4DB2E" w14:textId="039F5BA1" w:rsidR="00E050B4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17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 розгляд до судів надійшло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709">
        <w:rPr>
          <w:rFonts w:ascii="Times New Roman" w:eastAsia="Times New Roman" w:hAnsi="Times New Roman" w:cs="Times New Roman"/>
          <w:sz w:val="28"/>
          <w:szCs w:val="28"/>
          <w:lang w:eastAsia="ru-RU"/>
        </w:rPr>
        <w:t>3477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2135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1362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</w:t>
      </w:r>
      <w:r w:rsidR="00E171F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адміністративне правопорушення. </w:t>
      </w:r>
    </w:p>
    <w:p w14:paraId="6EE95737" w14:textId="09FA9688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Повернуто </w:t>
      </w:r>
      <w:r w:rsidR="00A21D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9045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адміністративне правопорушення</w:t>
      </w:r>
      <w:r w:rsidR="00FB30B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30B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042</w:t>
      </w:r>
      <w:r w:rsidR="00E171F9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30B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B30B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них 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873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повернуто органам, що склали протоколи про вчинення адміністративних правопорушень для неналежного оформлення.</w:t>
      </w:r>
    </w:p>
    <w:p w14:paraId="08C3BB37" w14:textId="3FC0E1E9" w:rsidR="00E050B4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розгляду протоколів про адміністративні правопорушення розглянуто 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21791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18966</w:t>
      </w:r>
      <w:r w:rsidR="00C11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10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відносно 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21801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0E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0B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F1E58D" w14:textId="51A1FA48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Стосовно 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7510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7234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4445E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 провадження в справі закрито</w:t>
      </w:r>
      <w:r w:rsidR="00A21D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1373</w:t>
      </w:r>
      <w:r w:rsidRPr="006441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звільнення від адміністративної відповідальності при малозначності правопорушення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777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065</w:t>
      </w:r>
      <w:r w:rsidR="002D327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3224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37349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закрито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закінченням строків накладення адміністративного стягнення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26790C0" w14:textId="2BAD017E" w:rsidR="00B11626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адміністративної відповідальності притягнуто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4098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E171F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(що </w:t>
      </w:r>
      <w:r w:rsidR="00563A9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CA3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683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2548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</w:t>
      </w:r>
      <w:r w:rsidR="00563A9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 </w:t>
      </w:r>
      <w:r w:rsidR="00683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ше, в порівнянні </w:t>
      </w:r>
      <w:r w:rsidR="005A7851" w:rsidRPr="005A7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202</w:t>
      </w:r>
      <w:r w:rsidR="00545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A7851" w:rsidRPr="005A7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роком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Аналіз застосованих судами адміністративних стягнень свідчить, що </w:t>
      </w:r>
      <w:r w:rsidR="00A21D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3418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</w:t>
      </w:r>
      <w:r w:rsidR="00C1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4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68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ос</w:t>
      </w:r>
      <w:r w:rsidR="00D6125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б, притягнутих до адміністративної відповідальності –</w:t>
      </w:r>
      <w:r w:rsidR="00C1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оштрафовано; 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61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правопорушник</w:t>
      </w:r>
      <w:r w:rsidR="00010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позбавлено</w:t>
      </w:r>
      <w:proofErr w:type="spellEnd"/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спеціального права, адміністративний арешт – 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D327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61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громадські роботи – 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D6125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0734A4E" w14:textId="421D5AFD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Адміністративне стягнення (основне і додаткове) у вигляді конфіскації предмета, який став знаряддям вчинення або безпосереднім об’єктом адміністративного правопорушення, застосовано до </w:t>
      </w:r>
      <w:r w:rsidR="00545673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</w:t>
      </w:r>
    </w:p>
    <w:p w14:paraId="61F653BF" w14:textId="6A0C9BFF" w:rsidR="00E050B4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на розгляд до судів надійшло 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4059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про адміністративні правопорушення за ст.1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КУпАП. Із них: 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повернуто, 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належного оформлення, </w:t>
      </w:r>
      <w:r w:rsidR="004D0709">
        <w:rPr>
          <w:rFonts w:ascii="Times New Roman" w:eastAsia="Times New Roman" w:hAnsi="Times New Roman" w:cs="Times New Roman"/>
          <w:sz w:val="28"/>
          <w:szCs w:val="28"/>
          <w:lang w:eastAsia="ru-RU"/>
        </w:rPr>
        <w:t>3654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4D07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розглянуто і </w:t>
      </w:r>
      <w:r w:rsidR="004D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3657 осіб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накладено стягнення. </w:t>
      </w:r>
    </w:p>
    <w:p w14:paraId="10E16415" w14:textId="49911F82" w:rsidR="009F0C53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 стягненням було накладення штрафу щодо 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2700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Щодо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="00E232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D1E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 справ</w:t>
      </w:r>
      <w:r w:rsidR="001C3D2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закрито, </w:t>
      </w:r>
      <w:r w:rsidR="00EF3A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справи закрито за відсутністю події </w:t>
      </w:r>
      <w:r w:rsidR="00AF3D0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 адміністративного правопорушення. Динаміку правопорушень за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</w:t>
      </w:r>
      <w:r w:rsidR="001133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КУпАП показано в </w:t>
      </w:r>
      <w:r w:rsidR="006D0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3727360" w14:textId="2BD6723B" w:rsidR="00DB66B5" w:rsidRPr="006441BD" w:rsidRDefault="00830872" w:rsidP="00BE538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14:paraId="7899E724" w14:textId="1277A903" w:rsidR="00DB66B5" w:rsidRPr="006441BD" w:rsidRDefault="00D42DB4" w:rsidP="00BE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39B802E" wp14:editId="3125070E">
            <wp:extent cx="5972175" cy="3771014"/>
            <wp:effectExtent l="0" t="0" r="9525" b="1270"/>
            <wp:docPr id="17" name="Діаграма 17">
              <a:extLst xmlns:a="http://schemas.openxmlformats.org/drawingml/2006/main">
                <a:ext uri="{FF2B5EF4-FFF2-40B4-BE49-F238E27FC236}">
                  <a16:creationId xmlns:a16="http://schemas.microsoft.com/office/drawing/2014/main" id="{11799681-892A-4140-8C74-471464C112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318B59" w14:textId="4CD322D1" w:rsidR="001C5FF5" w:rsidRPr="001C5FF5" w:rsidRDefault="001C5FF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році на розгляд до судів надійшло 3775 справ про адміністративні правопорушення за ст.173-2 КУпАП. Із них: 165 справ було повернуто, 156</w:t>
      </w:r>
      <w:r w:rsidR="0037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належного оформлення, 359</w:t>
      </w:r>
      <w:r w:rsidR="004D0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розглянуто і </w:t>
      </w:r>
      <w:r w:rsidR="002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2255 осіб </w:t>
      </w: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накладено </w:t>
      </w:r>
      <w:r w:rsidR="002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адміністративне </w:t>
      </w: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стягнення. </w:t>
      </w:r>
    </w:p>
    <w:p w14:paraId="434553E1" w14:textId="41923F32" w:rsidR="00DB66B5" w:rsidRPr="006441BD" w:rsidRDefault="001C5FF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 стягненням було накладення штрафу щодо 2471 ос</w:t>
      </w:r>
      <w:r w:rsidR="0094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E77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FF5">
        <w:rPr>
          <w:rFonts w:ascii="Times New Roman" w:eastAsia="Times New Roman" w:hAnsi="Times New Roman" w:cs="Times New Roman"/>
          <w:sz w:val="28"/>
          <w:szCs w:val="28"/>
          <w:lang w:eastAsia="ru-RU"/>
        </w:rPr>
        <w:t>. Щодо 1032 осіб справи було закрито, щодо 397 осіб справи закрито за відсутністю події і складу адміністративного правопорушення.</w:t>
      </w:r>
    </w:p>
    <w:p w14:paraId="40D8D26F" w14:textId="4BD92EA1" w:rsidR="0053251B" w:rsidRPr="006441BD" w:rsidRDefault="0063574D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</w:t>
      </w:r>
      <w:r w:rsidR="00235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судів надійшл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адміністративні правопорушення</w:t>
      </w:r>
      <w:r w:rsidR="0053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4E027A" w14:textId="2CF6C2FB" w:rsidR="0053251B" w:rsidRPr="006441BD" w:rsidRDefault="0053251B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ст.172-11 КУпА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самовільне залишення військової частини або місця служби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51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34D91" w14:textId="2F67AE7F" w:rsidR="0053251B" w:rsidRPr="006441BD" w:rsidRDefault="0053251B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ст.172-15 КУпАП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недбале ставлення до військової служби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51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BA5AA4" w14:textId="65236738" w:rsidR="0053251B" w:rsidRPr="006441BD" w:rsidRDefault="0053251B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ст.172-17 КУпАП – 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порушення правил несення бойового </w:t>
      </w:r>
      <w:r w:rsidR="000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51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BF598" w14:textId="24E852BD" w:rsidR="0053251B" w:rsidRPr="006441BD" w:rsidRDefault="0053251B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ст.172-18 КУпАП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порушення правил несення прикордонної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B6688" w14:textId="6B992511" w:rsidR="008F6AD6" w:rsidRPr="006441BD" w:rsidRDefault="0053251B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ст.212-2 КУпАП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6AD6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порушення законодавства про державну </w:t>
      </w:r>
      <w:r w:rsidR="00C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таємницю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47807" w14:textId="6D848411" w:rsidR="00DB66B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вчинення адміністративних правопорушень судами накладено стягнення у вигляді штрафу на суму </w:t>
      </w:r>
      <w:r w:rsidR="00E270D6">
        <w:rPr>
          <w:rFonts w:ascii="Times New Roman" w:eastAsia="Times New Roman" w:hAnsi="Times New Roman" w:cs="Times New Roman"/>
          <w:sz w:val="28"/>
          <w:szCs w:val="28"/>
          <w:lang w:eastAsia="ru-RU"/>
        </w:rPr>
        <w:t>77201495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з яких </w:t>
      </w:r>
      <w:r w:rsidR="00E270D6">
        <w:rPr>
          <w:rFonts w:ascii="Times New Roman" w:eastAsia="Times New Roman" w:hAnsi="Times New Roman" w:cs="Times New Roman"/>
          <w:sz w:val="28"/>
          <w:szCs w:val="28"/>
          <w:lang w:eastAsia="ru-RU"/>
        </w:rPr>
        <w:t>22064842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 сплачено в добровільному порядку.</w:t>
      </w:r>
    </w:p>
    <w:p w14:paraId="08EF32FB" w14:textId="022B2EA5" w:rsidR="006A2CE5" w:rsidRPr="006441BD" w:rsidRDefault="00DB66B5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вчинення правопорушень завдано матеріальної шкоди на суму                  </w:t>
      </w:r>
      <w:r w:rsidR="00E2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 </w:t>
      </w:r>
      <w:r w:rsidR="00E46DA3">
        <w:rPr>
          <w:rFonts w:ascii="Times New Roman" w:eastAsia="Times New Roman" w:hAnsi="Times New Roman" w:cs="Times New Roman"/>
          <w:sz w:val="28"/>
          <w:szCs w:val="28"/>
          <w:lang w:eastAsia="ru-RU"/>
        </w:rPr>
        <w:t>(16877</w:t>
      </w:r>
      <w:r w:rsidR="00B3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 w:rsidR="00E46DA3" w:rsidRPr="00E4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A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р.)</w:t>
      </w:r>
    </w:p>
    <w:p w14:paraId="7EABF285" w14:textId="77777777" w:rsidR="00231C22" w:rsidRPr="006441BD" w:rsidRDefault="00231C22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B2CD" w14:textId="77777777" w:rsidR="00CA3A8F" w:rsidRDefault="00CA3A8F" w:rsidP="00BE538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63D6DB" w14:textId="77777777" w:rsidR="00CA3A8F" w:rsidRDefault="00CA3A8F" w:rsidP="00BE538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AEE3ED" w14:textId="7F633E8E" w:rsidR="00F6393A" w:rsidRPr="006441BD" w:rsidRDefault="00B0115A" w:rsidP="00BE538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</w:t>
      </w:r>
      <w:r w:rsidR="006A2CE5" w:rsidRPr="006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Висновок</w:t>
      </w:r>
    </w:p>
    <w:p w14:paraId="72F3047C" w14:textId="6AB2E999" w:rsidR="00CB58C3" w:rsidRPr="006441BD" w:rsidRDefault="00A737FE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в 202</w:t>
      </w:r>
      <w:r w:rsid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у судах спостерігається тенденція щодо з</w:t>
      </w:r>
      <w:r w:rsidR="0037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шення кількості судових справ, матеріалів. Так, протягом року перебувало </w:t>
      </w:r>
      <w:r w:rsidR="00C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37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22840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кримінальних проваджень, справ та матеріалів, </w:t>
      </w:r>
      <w:r w:rsidR="0037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адміністративн</w:t>
      </w:r>
      <w:r w:rsidR="0088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88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матеріал</w:t>
      </w:r>
      <w:r w:rsidR="0088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29742</w:t>
      </w:r>
      <w:r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цивільних 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проваджень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матеріалів та </w:t>
      </w:r>
      <w:r w:rsidR="0037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23724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адміністративні правопорушення</w:t>
      </w:r>
      <w:r w:rsidR="00E050B4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D18BC1" w14:textId="3C177D19" w:rsidR="00F05795" w:rsidRPr="005867B7" w:rsidRDefault="00F6393A" w:rsidP="00BE5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Проведений огляд є підставою для висновку про те, що </w:t>
      </w:r>
      <w:r w:rsidR="00BD7839" w:rsidRPr="006441BD">
        <w:rPr>
          <w:rFonts w:ascii="Times New Roman" w:hAnsi="Times New Roman" w:cs="Times New Roman"/>
          <w:sz w:val="28"/>
          <w:szCs w:val="28"/>
        </w:rPr>
        <w:t xml:space="preserve">місцеві </w:t>
      </w:r>
      <w:r w:rsidR="00A737FE" w:rsidRPr="006441BD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Pr="006441BD">
        <w:rPr>
          <w:rFonts w:ascii="Times New Roman" w:hAnsi="Times New Roman" w:cs="Times New Roman"/>
          <w:sz w:val="28"/>
          <w:szCs w:val="28"/>
        </w:rPr>
        <w:t>суди в цілому забезпечили правильне і своєчасне вирішення переважної більшості судових справ.</w:t>
      </w:r>
      <w:r w:rsidR="00BD7839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2A7921" w:rsidRPr="006441BD">
        <w:rPr>
          <w:rFonts w:ascii="Times New Roman" w:hAnsi="Times New Roman" w:cs="Times New Roman"/>
          <w:sz w:val="28"/>
          <w:szCs w:val="28"/>
        </w:rPr>
        <w:t xml:space="preserve">Відсоток розгляду судових справ </w:t>
      </w:r>
      <w:r w:rsidR="002C7123">
        <w:rPr>
          <w:rFonts w:ascii="Times New Roman" w:hAnsi="Times New Roman" w:cs="Times New Roman"/>
          <w:sz w:val="28"/>
          <w:szCs w:val="28"/>
        </w:rPr>
        <w:t>–</w:t>
      </w:r>
      <w:r w:rsidR="002A7921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2C7123">
        <w:rPr>
          <w:rFonts w:ascii="Times New Roman" w:hAnsi="Times New Roman" w:cs="Times New Roman"/>
          <w:sz w:val="28"/>
          <w:szCs w:val="28"/>
        </w:rPr>
        <w:t>97,5</w:t>
      </w:r>
      <w:r w:rsidR="002A7921" w:rsidRPr="006441BD">
        <w:rPr>
          <w:rFonts w:ascii="Times New Roman" w:hAnsi="Times New Roman" w:cs="Times New Roman"/>
          <w:sz w:val="28"/>
          <w:szCs w:val="28"/>
        </w:rPr>
        <w:t xml:space="preserve"> %. Наведені дані свідч</w:t>
      </w:r>
      <w:r w:rsidR="002C7123">
        <w:rPr>
          <w:rFonts w:ascii="Times New Roman" w:hAnsi="Times New Roman" w:cs="Times New Roman"/>
          <w:sz w:val="28"/>
          <w:szCs w:val="28"/>
        </w:rPr>
        <w:t>ать</w:t>
      </w:r>
      <w:r w:rsidR="00DA7DBD">
        <w:rPr>
          <w:rFonts w:ascii="Times New Roman" w:hAnsi="Times New Roman" w:cs="Times New Roman"/>
          <w:sz w:val="28"/>
          <w:szCs w:val="28"/>
        </w:rPr>
        <w:t xml:space="preserve"> </w:t>
      </w:r>
      <w:r w:rsidR="00DA7DBD" w:rsidRPr="006441BD">
        <w:rPr>
          <w:rFonts w:ascii="Times New Roman" w:hAnsi="Times New Roman" w:cs="Times New Roman"/>
          <w:sz w:val="28"/>
          <w:szCs w:val="28"/>
        </w:rPr>
        <w:t>про позитивні тенденції звітного періоду</w:t>
      </w:r>
      <w:r w:rsidR="00F05795">
        <w:rPr>
          <w:rFonts w:ascii="Times New Roman" w:hAnsi="Times New Roman" w:cs="Times New Roman"/>
          <w:sz w:val="28"/>
          <w:szCs w:val="28"/>
        </w:rPr>
        <w:t>,</w:t>
      </w:r>
      <w:r w:rsidR="00F05795" w:rsidRPr="00F0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9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наведені в </w:t>
      </w:r>
      <w:r w:rsidR="00F05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05795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аблиці №</w:t>
      </w:r>
      <w:r w:rsidR="00F05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5795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27979C" w14:textId="77777777" w:rsidR="008B49A8" w:rsidRDefault="008B49A8" w:rsidP="00BE53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0D1735" w14:textId="30C4C0DC" w:rsidR="00F05795" w:rsidRPr="00F05795" w:rsidRDefault="00F05795" w:rsidP="00BE53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795">
        <w:rPr>
          <w:rFonts w:ascii="Times New Roman" w:hAnsi="Times New Roman" w:cs="Times New Roman"/>
          <w:b/>
          <w:sz w:val="28"/>
          <w:szCs w:val="28"/>
        </w:rPr>
        <w:t>Таблиця 2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0"/>
        <w:gridCol w:w="6061"/>
        <w:gridCol w:w="1180"/>
        <w:gridCol w:w="1513"/>
      </w:tblGrid>
      <w:tr w:rsidR="00F9753A" w:rsidRPr="00F9753A" w14:paraId="770F8D55" w14:textId="77777777" w:rsidTr="00F05795">
        <w:trPr>
          <w:trHeight w:val="51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E80C2" w14:textId="2CB8B9AF" w:rsidR="00F05795" w:rsidRDefault="00F0579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66A9CF5E" w14:textId="4F31628C" w:rsidR="00F05795" w:rsidRPr="00F9753A" w:rsidRDefault="00F05795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949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рядка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AB8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</w:tr>
      <w:tr w:rsidR="00F9753A" w:rsidRPr="00F9753A" w14:paraId="34811014" w14:textId="77777777" w:rsidTr="00540BEE">
        <w:trPr>
          <w:trHeight w:val="5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393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553E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95E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11,2</w:t>
            </w:r>
          </w:p>
        </w:tc>
      </w:tr>
      <w:tr w:rsidR="00F9753A" w:rsidRPr="00F9753A" w14:paraId="348C0D62" w14:textId="77777777" w:rsidTr="00540BEE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29C71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7856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кримінального  судочинства,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A8E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EDD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27,6</w:t>
            </w:r>
          </w:p>
        </w:tc>
      </w:tr>
      <w:tr w:rsidR="00F9753A" w:rsidRPr="00F9753A" w14:paraId="5831F284" w14:textId="77777777" w:rsidTr="00540BEE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A2BCF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1C7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судочинства,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99E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292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6,6</w:t>
            </w:r>
          </w:p>
        </w:tc>
      </w:tr>
      <w:tr w:rsidR="00F9753A" w:rsidRPr="00F9753A" w14:paraId="58E75D85" w14:textId="77777777" w:rsidTr="00540BEE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185F3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681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цивільного  судочинства,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ACB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ED4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8,7</w:t>
            </w:r>
          </w:p>
        </w:tc>
      </w:tr>
      <w:tr w:rsidR="00F9753A" w:rsidRPr="00F9753A" w14:paraId="1247D827" w14:textId="77777777" w:rsidTr="00540BEE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B9221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B85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адміністративні правопорушення,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6DDC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404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</w:t>
            </w:r>
          </w:p>
        </w:tc>
      </w:tr>
      <w:tr w:rsidR="00F9753A" w:rsidRPr="00F9753A" w14:paraId="585A79F3" w14:textId="77777777" w:rsidTr="00540BEE">
        <w:trPr>
          <w:trHeight w:val="3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CD1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Відсоток розгляду справ,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729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5AF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97,5</w:t>
            </w:r>
          </w:p>
        </w:tc>
      </w:tr>
      <w:tr w:rsidR="00F9753A" w:rsidRPr="00F9753A" w14:paraId="450F5B1B" w14:textId="77777777" w:rsidTr="00540BEE">
        <w:trPr>
          <w:trHeight w:val="3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764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153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742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885</w:t>
            </w:r>
          </w:p>
        </w:tc>
      </w:tr>
      <w:tr w:rsidR="00F9753A" w:rsidRPr="00F9753A" w14:paraId="12C0C38C" w14:textId="77777777" w:rsidTr="00540BEE">
        <w:trPr>
          <w:trHeight w:val="51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343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3FA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ABB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1 012</w:t>
            </w:r>
          </w:p>
        </w:tc>
      </w:tr>
      <w:tr w:rsidR="00F9753A" w:rsidRPr="00F9753A" w14:paraId="433948C0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7A66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8CB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575D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</w:tr>
      <w:tr w:rsidR="00F9753A" w:rsidRPr="00F9753A" w14:paraId="5BF2E00E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CFE9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кримінального  судочинства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CF2B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74C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</w:tr>
      <w:tr w:rsidR="00F9753A" w:rsidRPr="00F9753A" w14:paraId="16AC2043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63F0" w14:textId="77777777" w:rsidR="00F9753A" w:rsidRPr="00F9753A" w:rsidRDefault="00F9753A" w:rsidP="00BE5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кримінального провадження (з гр.4 ряд.1 розділу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26A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722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</w:t>
            </w:r>
          </w:p>
        </w:tc>
      </w:tr>
      <w:tr w:rsidR="00F9753A" w:rsidRPr="00F9753A" w14:paraId="4D92C398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5605" w14:textId="77777777" w:rsidR="00F9753A" w:rsidRPr="00F9753A" w:rsidRDefault="00F9753A" w:rsidP="00BE538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FA0D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E58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F9753A" w:rsidRPr="00F9753A" w14:paraId="17C31E8D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EF4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судочинства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D3A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197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</w:tr>
      <w:tr w:rsidR="00F9753A" w:rsidRPr="00F9753A" w14:paraId="5F6F0BC9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D6E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цивільного  судочинства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65F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316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</w:tr>
      <w:tr w:rsidR="00F9753A" w:rsidRPr="00F9753A" w14:paraId="572E99F0" w14:textId="77777777" w:rsidTr="00540BEE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215" w14:textId="77777777" w:rsidR="00F9753A" w:rsidRPr="00F9753A" w:rsidRDefault="00F9753A" w:rsidP="00BE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адміністративні правопорушення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754" w14:textId="77777777" w:rsidR="00F9753A" w:rsidRPr="00F9753A" w:rsidRDefault="00F9753A" w:rsidP="00BE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5A57" w14:textId="77777777" w:rsidR="00F9753A" w:rsidRPr="00F9753A" w:rsidRDefault="00F9753A" w:rsidP="00BE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75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</w:tr>
    </w:tbl>
    <w:p w14:paraId="0048119D" w14:textId="77777777" w:rsidR="00886EFF" w:rsidRDefault="00886EFF" w:rsidP="00BE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6EFF" w:rsidSect="00BE5389">
      <w:footerReference w:type="default" r:id="rId16"/>
      <w:pgSz w:w="11906" w:h="16838" w:code="9"/>
      <w:pgMar w:top="1134" w:right="567" w:bottom="1134" w:left="1701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C3FF" w14:textId="77777777" w:rsidR="00761B15" w:rsidRDefault="00761B15" w:rsidP="00E22C32">
      <w:pPr>
        <w:spacing w:after="0" w:line="240" w:lineRule="auto"/>
      </w:pPr>
      <w:r>
        <w:separator/>
      </w:r>
    </w:p>
  </w:endnote>
  <w:endnote w:type="continuationSeparator" w:id="0">
    <w:p w14:paraId="02A62F6A" w14:textId="77777777" w:rsidR="00761B15" w:rsidRDefault="00761B15" w:rsidP="00E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462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43778E" w14:textId="6FDE0E8D" w:rsidR="00E22C32" w:rsidRPr="00E22C32" w:rsidRDefault="00E22C3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2C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2C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2C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D77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E22C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64CEF0" w14:textId="77777777" w:rsidR="00E22C32" w:rsidRDefault="00E22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125F" w14:textId="77777777" w:rsidR="00761B15" w:rsidRDefault="00761B15" w:rsidP="00E22C32">
      <w:pPr>
        <w:spacing w:after="0" w:line="240" w:lineRule="auto"/>
      </w:pPr>
      <w:r>
        <w:separator/>
      </w:r>
    </w:p>
  </w:footnote>
  <w:footnote w:type="continuationSeparator" w:id="0">
    <w:p w14:paraId="4BFF08C0" w14:textId="77777777" w:rsidR="00761B15" w:rsidRDefault="00761B15" w:rsidP="00E2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0FF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774F"/>
    <w:multiLevelType w:val="hybridMultilevel"/>
    <w:tmpl w:val="12C2DD8E"/>
    <w:lvl w:ilvl="0" w:tplc="483EE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01687"/>
    <w:multiLevelType w:val="hybridMultilevel"/>
    <w:tmpl w:val="7BFCF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C68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727C"/>
    <w:multiLevelType w:val="hybridMultilevel"/>
    <w:tmpl w:val="F7BC7672"/>
    <w:lvl w:ilvl="0" w:tplc="A4829628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D0B26"/>
    <w:multiLevelType w:val="hybridMultilevel"/>
    <w:tmpl w:val="AC9C7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5"/>
    <w:rsid w:val="00002DED"/>
    <w:rsid w:val="00010E66"/>
    <w:rsid w:val="00017015"/>
    <w:rsid w:val="0002061C"/>
    <w:rsid w:val="00026560"/>
    <w:rsid w:val="00027AEC"/>
    <w:rsid w:val="0003190F"/>
    <w:rsid w:val="00034DE1"/>
    <w:rsid w:val="00036E51"/>
    <w:rsid w:val="000448B8"/>
    <w:rsid w:val="00045828"/>
    <w:rsid w:val="00046523"/>
    <w:rsid w:val="00050F49"/>
    <w:rsid w:val="0006185E"/>
    <w:rsid w:val="000629DA"/>
    <w:rsid w:val="00063767"/>
    <w:rsid w:val="000637B8"/>
    <w:rsid w:val="000726F9"/>
    <w:rsid w:val="00074361"/>
    <w:rsid w:val="000857CA"/>
    <w:rsid w:val="000942A6"/>
    <w:rsid w:val="000944D2"/>
    <w:rsid w:val="00094650"/>
    <w:rsid w:val="000957CA"/>
    <w:rsid w:val="00097047"/>
    <w:rsid w:val="000A2C46"/>
    <w:rsid w:val="000A4E5D"/>
    <w:rsid w:val="000A783B"/>
    <w:rsid w:val="000B031B"/>
    <w:rsid w:val="000B3B37"/>
    <w:rsid w:val="000B4176"/>
    <w:rsid w:val="000B6D2A"/>
    <w:rsid w:val="000C2E3C"/>
    <w:rsid w:val="000C444D"/>
    <w:rsid w:val="000C6DFC"/>
    <w:rsid w:val="000D1E7C"/>
    <w:rsid w:val="000D42D5"/>
    <w:rsid w:val="000E1869"/>
    <w:rsid w:val="000E251B"/>
    <w:rsid w:val="000E7C4E"/>
    <w:rsid w:val="000F05EC"/>
    <w:rsid w:val="000F0FC7"/>
    <w:rsid w:val="000F4D1A"/>
    <w:rsid w:val="000F52D0"/>
    <w:rsid w:val="000F5E5B"/>
    <w:rsid w:val="00100559"/>
    <w:rsid w:val="00100AB0"/>
    <w:rsid w:val="001071D1"/>
    <w:rsid w:val="00107E59"/>
    <w:rsid w:val="001112D3"/>
    <w:rsid w:val="00111B1C"/>
    <w:rsid w:val="001133A3"/>
    <w:rsid w:val="0012100B"/>
    <w:rsid w:val="0013025E"/>
    <w:rsid w:val="00134912"/>
    <w:rsid w:val="00135DE6"/>
    <w:rsid w:val="00137349"/>
    <w:rsid w:val="00141DF0"/>
    <w:rsid w:val="001429FD"/>
    <w:rsid w:val="001450CC"/>
    <w:rsid w:val="001460F8"/>
    <w:rsid w:val="00150E86"/>
    <w:rsid w:val="001555A7"/>
    <w:rsid w:val="001565AA"/>
    <w:rsid w:val="00162662"/>
    <w:rsid w:val="00170129"/>
    <w:rsid w:val="0017026E"/>
    <w:rsid w:val="001702F7"/>
    <w:rsid w:val="00173093"/>
    <w:rsid w:val="00173B37"/>
    <w:rsid w:val="0018031C"/>
    <w:rsid w:val="001833CC"/>
    <w:rsid w:val="001839D0"/>
    <w:rsid w:val="0018704C"/>
    <w:rsid w:val="00190696"/>
    <w:rsid w:val="001927AA"/>
    <w:rsid w:val="001A2216"/>
    <w:rsid w:val="001A622C"/>
    <w:rsid w:val="001A6C35"/>
    <w:rsid w:val="001A710D"/>
    <w:rsid w:val="001B1BBF"/>
    <w:rsid w:val="001B2166"/>
    <w:rsid w:val="001B2C9F"/>
    <w:rsid w:val="001B6FE7"/>
    <w:rsid w:val="001C3D20"/>
    <w:rsid w:val="001C5FF5"/>
    <w:rsid w:val="001D312F"/>
    <w:rsid w:val="001E3949"/>
    <w:rsid w:val="0021268F"/>
    <w:rsid w:val="002128A0"/>
    <w:rsid w:val="0021462B"/>
    <w:rsid w:val="00216C6F"/>
    <w:rsid w:val="002200D6"/>
    <w:rsid w:val="002217C2"/>
    <w:rsid w:val="00221D03"/>
    <w:rsid w:val="002222ED"/>
    <w:rsid w:val="00226988"/>
    <w:rsid w:val="0023116F"/>
    <w:rsid w:val="00231C22"/>
    <w:rsid w:val="00235149"/>
    <w:rsid w:val="002368D1"/>
    <w:rsid w:val="0025216B"/>
    <w:rsid w:val="00263017"/>
    <w:rsid w:val="0027420C"/>
    <w:rsid w:val="0028149C"/>
    <w:rsid w:val="002828BB"/>
    <w:rsid w:val="002852C6"/>
    <w:rsid w:val="002920B2"/>
    <w:rsid w:val="0029384D"/>
    <w:rsid w:val="00293C44"/>
    <w:rsid w:val="002A0566"/>
    <w:rsid w:val="002A53F3"/>
    <w:rsid w:val="002A7921"/>
    <w:rsid w:val="002B4C05"/>
    <w:rsid w:val="002B6D84"/>
    <w:rsid w:val="002B7977"/>
    <w:rsid w:val="002C13AD"/>
    <w:rsid w:val="002C7123"/>
    <w:rsid w:val="002D327E"/>
    <w:rsid w:val="002E5877"/>
    <w:rsid w:val="002E70DD"/>
    <w:rsid w:val="002E73E9"/>
    <w:rsid w:val="002F1746"/>
    <w:rsid w:val="002F38F8"/>
    <w:rsid w:val="002F3EA2"/>
    <w:rsid w:val="002F40E6"/>
    <w:rsid w:val="002F4A5C"/>
    <w:rsid w:val="00303664"/>
    <w:rsid w:val="0030379E"/>
    <w:rsid w:val="00310C2C"/>
    <w:rsid w:val="0031330F"/>
    <w:rsid w:val="003139A1"/>
    <w:rsid w:val="0033755D"/>
    <w:rsid w:val="0033777C"/>
    <w:rsid w:val="003457CB"/>
    <w:rsid w:val="003461D5"/>
    <w:rsid w:val="00361C5F"/>
    <w:rsid w:val="0037379C"/>
    <w:rsid w:val="00390457"/>
    <w:rsid w:val="00391F87"/>
    <w:rsid w:val="003931F5"/>
    <w:rsid w:val="0039371E"/>
    <w:rsid w:val="00393B33"/>
    <w:rsid w:val="00393DAF"/>
    <w:rsid w:val="00396F64"/>
    <w:rsid w:val="00396F6F"/>
    <w:rsid w:val="003A51F5"/>
    <w:rsid w:val="003B1801"/>
    <w:rsid w:val="003B739C"/>
    <w:rsid w:val="003C4499"/>
    <w:rsid w:val="003C50A0"/>
    <w:rsid w:val="003C706C"/>
    <w:rsid w:val="003D5F13"/>
    <w:rsid w:val="003E15BF"/>
    <w:rsid w:val="003E2780"/>
    <w:rsid w:val="003E5577"/>
    <w:rsid w:val="003E7623"/>
    <w:rsid w:val="003E7F71"/>
    <w:rsid w:val="003F31D9"/>
    <w:rsid w:val="003F42F0"/>
    <w:rsid w:val="00403D6D"/>
    <w:rsid w:val="00404106"/>
    <w:rsid w:val="0040720A"/>
    <w:rsid w:val="00410E37"/>
    <w:rsid w:val="00416E81"/>
    <w:rsid w:val="0042359A"/>
    <w:rsid w:val="00427F4C"/>
    <w:rsid w:val="004313D6"/>
    <w:rsid w:val="004445EC"/>
    <w:rsid w:val="00444B67"/>
    <w:rsid w:val="00444D8D"/>
    <w:rsid w:val="004454C8"/>
    <w:rsid w:val="004472BD"/>
    <w:rsid w:val="00486823"/>
    <w:rsid w:val="00491907"/>
    <w:rsid w:val="0049644B"/>
    <w:rsid w:val="0049765E"/>
    <w:rsid w:val="00497E1A"/>
    <w:rsid w:val="004A2AC8"/>
    <w:rsid w:val="004A3234"/>
    <w:rsid w:val="004A39EB"/>
    <w:rsid w:val="004A46FA"/>
    <w:rsid w:val="004C4E39"/>
    <w:rsid w:val="004C57BB"/>
    <w:rsid w:val="004C5D77"/>
    <w:rsid w:val="004D0709"/>
    <w:rsid w:val="004D08AF"/>
    <w:rsid w:val="004D17CD"/>
    <w:rsid w:val="004D5E46"/>
    <w:rsid w:val="004D6C8A"/>
    <w:rsid w:val="004D7B4D"/>
    <w:rsid w:val="004E2493"/>
    <w:rsid w:val="004E4444"/>
    <w:rsid w:val="004E789D"/>
    <w:rsid w:val="004E7D02"/>
    <w:rsid w:val="004F0E6E"/>
    <w:rsid w:val="004F0EA8"/>
    <w:rsid w:val="004F7876"/>
    <w:rsid w:val="00500977"/>
    <w:rsid w:val="005069E0"/>
    <w:rsid w:val="00520258"/>
    <w:rsid w:val="00531D09"/>
    <w:rsid w:val="0053251B"/>
    <w:rsid w:val="00536938"/>
    <w:rsid w:val="00540612"/>
    <w:rsid w:val="00540BEE"/>
    <w:rsid w:val="00543221"/>
    <w:rsid w:val="00545673"/>
    <w:rsid w:val="00546614"/>
    <w:rsid w:val="00552242"/>
    <w:rsid w:val="00553CE8"/>
    <w:rsid w:val="005548C5"/>
    <w:rsid w:val="005620F2"/>
    <w:rsid w:val="00563A94"/>
    <w:rsid w:val="0056410E"/>
    <w:rsid w:val="00571EE4"/>
    <w:rsid w:val="005734FA"/>
    <w:rsid w:val="00584E3B"/>
    <w:rsid w:val="005867B7"/>
    <w:rsid w:val="00592182"/>
    <w:rsid w:val="005936F2"/>
    <w:rsid w:val="005A08C5"/>
    <w:rsid w:val="005A6760"/>
    <w:rsid w:val="005A7851"/>
    <w:rsid w:val="005A7F27"/>
    <w:rsid w:val="005B3C7C"/>
    <w:rsid w:val="005C213D"/>
    <w:rsid w:val="005D2728"/>
    <w:rsid w:val="005D3B13"/>
    <w:rsid w:val="005D3C5C"/>
    <w:rsid w:val="005D60B3"/>
    <w:rsid w:val="005E176A"/>
    <w:rsid w:val="005E3386"/>
    <w:rsid w:val="005E5838"/>
    <w:rsid w:val="005E7811"/>
    <w:rsid w:val="005F1533"/>
    <w:rsid w:val="005F1D87"/>
    <w:rsid w:val="005F4F7C"/>
    <w:rsid w:val="005F6AEB"/>
    <w:rsid w:val="00601E0F"/>
    <w:rsid w:val="00610642"/>
    <w:rsid w:val="00613D33"/>
    <w:rsid w:val="00614621"/>
    <w:rsid w:val="006214E4"/>
    <w:rsid w:val="0063256D"/>
    <w:rsid w:val="006352D9"/>
    <w:rsid w:val="0063574D"/>
    <w:rsid w:val="00643FEF"/>
    <w:rsid w:val="006441BD"/>
    <w:rsid w:val="006444BA"/>
    <w:rsid w:val="00662AD2"/>
    <w:rsid w:val="00673567"/>
    <w:rsid w:val="00682742"/>
    <w:rsid w:val="00683463"/>
    <w:rsid w:val="006839B9"/>
    <w:rsid w:val="00692726"/>
    <w:rsid w:val="0069469F"/>
    <w:rsid w:val="00697231"/>
    <w:rsid w:val="006A2CE5"/>
    <w:rsid w:val="006A79EC"/>
    <w:rsid w:val="006A7C84"/>
    <w:rsid w:val="006A7EB8"/>
    <w:rsid w:val="006B2C58"/>
    <w:rsid w:val="006B3FD3"/>
    <w:rsid w:val="006B4750"/>
    <w:rsid w:val="006C1CC2"/>
    <w:rsid w:val="006C4054"/>
    <w:rsid w:val="006C7845"/>
    <w:rsid w:val="006D0DEF"/>
    <w:rsid w:val="006D315F"/>
    <w:rsid w:val="006E6DB6"/>
    <w:rsid w:val="006E7787"/>
    <w:rsid w:val="006E7EA3"/>
    <w:rsid w:val="006E7EC0"/>
    <w:rsid w:val="006F73B0"/>
    <w:rsid w:val="007107F6"/>
    <w:rsid w:val="00713A40"/>
    <w:rsid w:val="00716038"/>
    <w:rsid w:val="00717F71"/>
    <w:rsid w:val="00726934"/>
    <w:rsid w:val="00731D8A"/>
    <w:rsid w:val="0073497F"/>
    <w:rsid w:val="00743BBB"/>
    <w:rsid w:val="00745311"/>
    <w:rsid w:val="0075212F"/>
    <w:rsid w:val="00753ACF"/>
    <w:rsid w:val="00761B15"/>
    <w:rsid w:val="00761EF0"/>
    <w:rsid w:val="007658CD"/>
    <w:rsid w:val="0076683F"/>
    <w:rsid w:val="00774791"/>
    <w:rsid w:val="00777020"/>
    <w:rsid w:val="00780611"/>
    <w:rsid w:val="00790B1A"/>
    <w:rsid w:val="00792702"/>
    <w:rsid w:val="007A1FB7"/>
    <w:rsid w:val="007A675C"/>
    <w:rsid w:val="007A7E0E"/>
    <w:rsid w:val="007D5311"/>
    <w:rsid w:val="007D68CD"/>
    <w:rsid w:val="007E03E6"/>
    <w:rsid w:val="007F1DEA"/>
    <w:rsid w:val="007F3453"/>
    <w:rsid w:val="007F56F7"/>
    <w:rsid w:val="00800190"/>
    <w:rsid w:val="00806EA2"/>
    <w:rsid w:val="00813FC9"/>
    <w:rsid w:val="008173E9"/>
    <w:rsid w:val="00817D56"/>
    <w:rsid w:val="00824090"/>
    <w:rsid w:val="00824524"/>
    <w:rsid w:val="00826902"/>
    <w:rsid w:val="00826EC1"/>
    <w:rsid w:val="00827DA0"/>
    <w:rsid w:val="00830872"/>
    <w:rsid w:val="008347A1"/>
    <w:rsid w:val="00836EE5"/>
    <w:rsid w:val="0084454F"/>
    <w:rsid w:val="0084646A"/>
    <w:rsid w:val="00846B7C"/>
    <w:rsid w:val="00850A57"/>
    <w:rsid w:val="00851FD5"/>
    <w:rsid w:val="00852336"/>
    <w:rsid w:val="008612B6"/>
    <w:rsid w:val="00867478"/>
    <w:rsid w:val="00867E57"/>
    <w:rsid w:val="00870338"/>
    <w:rsid w:val="00874016"/>
    <w:rsid w:val="00874504"/>
    <w:rsid w:val="00877977"/>
    <w:rsid w:val="00884131"/>
    <w:rsid w:val="00886EFF"/>
    <w:rsid w:val="00894EB6"/>
    <w:rsid w:val="00896347"/>
    <w:rsid w:val="00897640"/>
    <w:rsid w:val="008A4894"/>
    <w:rsid w:val="008A59AD"/>
    <w:rsid w:val="008B49A8"/>
    <w:rsid w:val="008B77D4"/>
    <w:rsid w:val="008C0121"/>
    <w:rsid w:val="008C0AA7"/>
    <w:rsid w:val="008D3D46"/>
    <w:rsid w:val="008E4826"/>
    <w:rsid w:val="008E57D1"/>
    <w:rsid w:val="008F6731"/>
    <w:rsid w:val="008F6AD6"/>
    <w:rsid w:val="009001B0"/>
    <w:rsid w:val="00912707"/>
    <w:rsid w:val="00913105"/>
    <w:rsid w:val="0091362E"/>
    <w:rsid w:val="00917F0F"/>
    <w:rsid w:val="00920AAB"/>
    <w:rsid w:val="009233D3"/>
    <w:rsid w:val="009266E5"/>
    <w:rsid w:val="00931B07"/>
    <w:rsid w:val="00932651"/>
    <w:rsid w:val="009337C8"/>
    <w:rsid w:val="00934578"/>
    <w:rsid w:val="009358AC"/>
    <w:rsid w:val="00943C58"/>
    <w:rsid w:val="009516D6"/>
    <w:rsid w:val="009516DC"/>
    <w:rsid w:val="00954410"/>
    <w:rsid w:val="00955445"/>
    <w:rsid w:val="00955A31"/>
    <w:rsid w:val="00955AED"/>
    <w:rsid w:val="00956735"/>
    <w:rsid w:val="0096183C"/>
    <w:rsid w:val="00961AD7"/>
    <w:rsid w:val="00964402"/>
    <w:rsid w:val="0096475C"/>
    <w:rsid w:val="00972F02"/>
    <w:rsid w:val="00982DF5"/>
    <w:rsid w:val="0098315E"/>
    <w:rsid w:val="009922D6"/>
    <w:rsid w:val="009923CA"/>
    <w:rsid w:val="009938A8"/>
    <w:rsid w:val="00997C1A"/>
    <w:rsid w:val="009A158F"/>
    <w:rsid w:val="009A1A97"/>
    <w:rsid w:val="009A5AA5"/>
    <w:rsid w:val="009A61AB"/>
    <w:rsid w:val="009B5F97"/>
    <w:rsid w:val="009B66A7"/>
    <w:rsid w:val="009C1FA8"/>
    <w:rsid w:val="009C303E"/>
    <w:rsid w:val="009C33A4"/>
    <w:rsid w:val="009C501C"/>
    <w:rsid w:val="009C7A9C"/>
    <w:rsid w:val="009D07C2"/>
    <w:rsid w:val="009D0F8C"/>
    <w:rsid w:val="009D13A4"/>
    <w:rsid w:val="009D1E3C"/>
    <w:rsid w:val="009D4B1B"/>
    <w:rsid w:val="009D6294"/>
    <w:rsid w:val="009D6E88"/>
    <w:rsid w:val="009E0FB4"/>
    <w:rsid w:val="009E2467"/>
    <w:rsid w:val="009E2DB1"/>
    <w:rsid w:val="009E3A2E"/>
    <w:rsid w:val="009F0C53"/>
    <w:rsid w:val="009F2864"/>
    <w:rsid w:val="009F2AEE"/>
    <w:rsid w:val="009F4631"/>
    <w:rsid w:val="009F5E93"/>
    <w:rsid w:val="00A03217"/>
    <w:rsid w:val="00A06E86"/>
    <w:rsid w:val="00A131BD"/>
    <w:rsid w:val="00A1761D"/>
    <w:rsid w:val="00A21DD1"/>
    <w:rsid w:val="00A261B7"/>
    <w:rsid w:val="00A27EF1"/>
    <w:rsid w:val="00A32C20"/>
    <w:rsid w:val="00A417E5"/>
    <w:rsid w:val="00A425E1"/>
    <w:rsid w:val="00A45F96"/>
    <w:rsid w:val="00A5507B"/>
    <w:rsid w:val="00A57B2D"/>
    <w:rsid w:val="00A61280"/>
    <w:rsid w:val="00A71484"/>
    <w:rsid w:val="00A73249"/>
    <w:rsid w:val="00A737FE"/>
    <w:rsid w:val="00A8020F"/>
    <w:rsid w:val="00A836B2"/>
    <w:rsid w:val="00A84A70"/>
    <w:rsid w:val="00A861D1"/>
    <w:rsid w:val="00A86265"/>
    <w:rsid w:val="00A91ED1"/>
    <w:rsid w:val="00A95306"/>
    <w:rsid w:val="00AA4CB2"/>
    <w:rsid w:val="00AB1987"/>
    <w:rsid w:val="00AB20C7"/>
    <w:rsid w:val="00AB3D3C"/>
    <w:rsid w:val="00AC10B8"/>
    <w:rsid w:val="00AC54A2"/>
    <w:rsid w:val="00AD0C0C"/>
    <w:rsid w:val="00AD1D17"/>
    <w:rsid w:val="00AD76DA"/>
    <w:rsid w:val="00AF2187"/>
    <w:rsid w:val="00AF276B"/>
    <w:rsid w:val="00AF2F62"/>
    <w:rsid w:val="00AF3D02"/>
    <w:rsid w:val="00AF4387"/>
    <w:rsid w:val="00B0115A"/>
    <w:rsid w:val="00B04009"/>
    <w:rsid w:val="00B11626"/>
    <w:rsid w:val="00B200BD"/>
    <w:rsid w:val="00B23009"/>
    <w:rsid w:val="00B24CE2"/>
    <w:rsid w:val="00B26BE7"/>
    <w:rsid w:val="00B26F19"/>
    <w:rsid w:val="00B309CC"/>
    <w:rsid w:val="00B31495"/>
    <w:rsid w:val="00B32FA2"/>
    <w:rsid w:val="00B3462F"/>
    <w:rsid w:val="00B37F41"/>
    <w:rsid w:val="00B42AD2"/>
    <w:rsid w:val="00B43261"/>
    <w:rsid w:val="00B44293"/>
    <w:rsid w:val="00B47096"/>
    <w:rsid w:val="00B52A84"/>
    <w:rsid w:val="00B53F24"/>
    <w:rsid w:val="00B57DE9"/>
    <w:rsid w:val="00B63860"/>
    <w:rsid w:val="00B673A2"/>
    <w:rsid w:val="00B80F0D"/>
    <w:rsid w:val="00B84507"/>
    <w:rsid w:val="00B94E6B"/>
    <w:rsid w:val="00BA0105"/>
    <w:rsid w:val="00BA37AE"/>
    <w:rsid w:val="00BA6C83"/>
    <w:rsid w:val="00BB181A"/>
    <w:rsid w:val="00BB53F1"/>
    <w:rsid w:val="00BC1E75"/>
    <w:rsid w:val="00BC296E"/>
    <w:rsid w:val="00BC6496"/>
    <w:rsid w:val="00BD7839"/>
    <w:rsid w:val="00BE5389"/>
    <w:rsid w:val="00BF0A94"/>
    <w:rsid w:val="00BF6FB8"/>
    <w:rsid w:val="00C0249C"/>
    <w:rsid w:val="00C07AAA"/>
    <w:rsid w:val="00C11CA5"/>
    <w:rsid w:val="00C130C3"/>
    <w:rsid w:val="00C13B40"/>
    <w:rsid w:val="00C17BAA"/>
    <w:rsid w:val="00C200C0"/>
    <w:rsid w:val="00C23279"/>
    <w:rsid w:val="00C26FB6"/>
    <w:rsid w:val="00C30343"/>
    <w:rsid w:val="00C36A57"/>
    <w:rsid w:val="00C4528D"/>
    <w:rsid w:val="00C50D95"/>
    <w:rsid w:val="00C53012"/>
    <w:rsid w:val="00C563FD"/>
    <w:rsid w:val="00C6776C"/>
    <w:rsid w:val="00C765B7"/>
    <w:rsid w:val="00C77EC6"/>
    <w:rsid w:val="00C8084B"/>
    <w:rsid w:val="00C81CE2"/>
    <w:rsid w:val="00C830CA"/>
    <w:rsid w:val="00C94026"/>
    <w:rsid w:val="00C95ECB"/>
    <w:rsid w:val="00C960E1"/>
    <w:rsid w:val="00CA3112"/>
    <w:rsid w:val="00CA3A8F"/>
    <w:rsid w:val="00CB05E1"/>
    <w:rsid w:val="00CB1A66"/>
    <w:rsid w:val="00CB58C3"/>
    <w:rsid w:val="00CB631F"/>
    <w:rsid w:val="00CC2A71"/>
    <w:rsid w:val="00CC7845"/>
    <w:rsid w:val="00CD1BEF"/>
    <w:rsid w:val="00CF1259"/>
    <w:rsid w:val="00CF17A9"/>
    <w:rsid w:val="00CF309B"/>
    <w:rsid w:val="00CF6BC5"/>
    <w:rsid w:val="00D006A1"/>
    <w:rsid w:val="00D034C1"/>
    <w:rsid w:val="00D05DA9"/>
    <w:rsid w:val="00D14474"/>
    <w:rsid w:val="00D14E3E"/>
    <w:rsid w:val="00D16495"/>
    <w:rsid w:val="00D269A5"/>
    <w:rsid w:val="00D36786"/>
    <w:rsid w:val="00D42DB4"/>
    <w:rsid w:val="00D46D41"/>
    <w:rsid w:val="00D513B2"/>
    <w:rsid w:val="00D51787"/>
    <w:rsid w:val="00D52F1F"/>
    <w:rsid w:val="00D5533B"/>
    <w:rsid w:val="00D5545C"/>
    <w:rsid w:val="00D559E8"/>
    <w:rsid w:val="00D55DD6"/>
    <w:rsid w:val="00D61132"/>
    <w:rsid w:val="00D61251"/>
    <w:rsid w:val="00D73ACE"/>
    <w:rsid w:val="00D77A3A"/>
    <w:rsid w:val="00D8140A"/>
    <w:rsid w:val="00D85DBD"/>
    <w:rsid w:val="00D91C4E"/>
    <w:rsid w:val="00DA3CD5"/>
    <w:rsid w:val="00DA473B"/>
    <w:rsid w:val="00DA7DBD"/>
    <w:rsid w:val="00DB20FA"/>
    <w:rsid w:val="00DB58F6"/>
    <w:rsid w:val="00DB66B5"/>
    <w:rsid w:val="00DB6856"/>
    <w:rsid w:val="00DC32CB"/>
    <w:rsid w:val="00DC5E25"/>
    <w:rsid w:val="00DD055A"/>
    <w:rsid w:val="00DD5BC0"/>
    <w:rsid w:val="00DF096E"/>
    <w:rsid w:val="00DF0B40"/>
    <w:rsid w:val="00DF4162"/>
    <w:rsid w:val="00DF7E3C"/>
    <w:rsid w:val="00E050B4"/>
    <w:rsid w:val="00E06CAF"/>
    <w:rsid w:val="00E134EE"/>
    <w:rsid w:val="00E1457B"/>
    <w:rsid w:val="00E16129"/>
    <w:rsid w:val="00E171F9"/>
    <w:rsid w:val="00E22C32"/>
    <w:rsid w:val="00E23296"/>
    <w:rsid w:val="00E24ACA"/>
    <w:rsid w:val="00E24F07"/>
    <w:rsid w:val="00E270D6"/>
    <w:rsid w:val="00E31269"/>
    <w:rsid w:val="00E330F6"/>
    <w:rsid w:val="00E37FD7"/>
    <w:rsid w:val="00E44345"/>
    <w:rsid w:val="00E46DA3"/>
    <w:rsid w:val="00E46E34"/>
    <w:rsid w:val="00E604A6"/>
    <w:rsid w:val="00E6668D"/>
    <w:rsid w:val="00E761DA"/>
    <w:rsid w:val="00E80171"/>
    <w:rsid w:val="00E83970"/>
    <w:rsid w:val="00E83C2A"/>
    <w:rsid w:val="00E865ED"/>
    <w:rsid w:val="00E91B9C"/>
    <w:rsid w:val="00E934CD"/>
    <w:rsid w:val="00E95BAC"/>
    <w:rsid w:val="00EA07B9"/>
    <w:rsid w:val="00EA0CEE"/>
    <w:rsid w:val="00EA0F31"/>
    <w:rsid w:val="00EC368B"/>
    <w:rsid w:val="00ED048A"/>
    <w:rsid w:val="00ED4BC3"/>
    <w:rsid w:val="00EE1834"/>
    <w:rsid w:val="00EE5BED"/>
    <w:rsid w:val="00EE614E"/>
    <w:rsid w:val="00EF1548"/>
    <w:rsid w:val="00EF3A5C"/>
    <w:rsid w:val="00EF4B2F"/>
    <w:rsid w:val="00EF554F"/>
    <w:rsid w:val="00EF6EC5"/>
    <w:rsid w:val="00F002A7"/>
    <w:rsid w:val="00F00E31"/>
    <w:rsid w:val="00F021DE"/>
    <w:rsid w:val="00F03027"/>
    <w:rsid w:val="00F03A3C"/>
    <w:rsid w:val="00F05795"/>
    <w:rsid w:val="00F117B1"/>
    <w:rsid w:val="00F14019"/>
    <w:rsid w:val="00F141F6"/>
    <w:rsid w:val="00F15E30"/>
    <w:rsid w:val="00F20199"/>
    <w:rsid w:val="00F21F85"/>
    <w:rsid w:val="00F308E1"/>
    <w:rsid w:val="00F32908"/>
    <w:rsid w:val="00F4335F"/>
    <w:rsid w:val="00F45DCD"/>
    <w:rsid w:val="00F460C2"/>
    <w:rsid w:val="00F50CB0"/>
    <w:rsid w:val="00F55BEF"/>
    <w:rsid w:val="00F561C6"/>
    <w:rsid w:val="00F56415"/>
    <w:rsid w:val="00F60487"/>
    <w:rsid w:val="00F6393A"/>
    <w:rsid w:val="00F80589"/>
    <w:rsid w:val="00F80732"/>
    <w:rsid w:val="00F81B2C"/>
    <w:rsid w:val="00F87658"/>
    <w:rsid w:val="00F9753A"/>
    <w:rsid w:val="00FA0212"/>
    <w:rsid w:val="00FB30BE"/>
    <w:rsid w:val="00FB33F3"/>
    <w:rsid w:val="00FB6150"/>
    <w:rsid w:val="00FC165D"/>
    <w:rsid w:val="00FC1997"/>
    <w:rsid w:val="00FC308A"/>
    <w:rsid w:val="00FD3F5D"/>
    <w:rsid w:val="00FD4121"/>
    <w:rsid w:val="00FD5DFE"/>
    <w:rsid w:val="00FD6F2F"/>
    <w:rsid w:val="00FE14E6"/>
    <w:rsid w:val="00FE17D6"/>
    <w:rsid w:val="00FE5325"/>
    <w:rsid w:val="00FE5B80"/>
    <w:rsid w:val="00FE63D2"/>
    <w:rsid w:val="00FF1328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0B1A"/>
  <w15:docId w15:val="{5336B840-2B2D-47B8-A081-34D6F73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B66B5"/>
  </w:style>
  <w:style w:type="character" w:styleId="a3">
    <w:name w:val="page number"/>
    <w:basedOn w:val="a0"/>
    <w:rsid w:val="00DB66B5"/>
  </w:style>
  <w:style w:type="paragraph" w:styleId="a4">
    <w:name w:val="header"/>
    <w:basedOn w:val="a"/>
    <w:link w:val="a5"/>
    <w:rsid w:val="00DB6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DB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B6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semiHidden/>
    <w:rsid w:val="00DB66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69E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22C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2C3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22667960343819E-2"/>
          <c:y val="2.9227740763173846E-2"/>
          <c:w val="0.90437130371366392"/>
          <c:h val="0.5923857887329302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 - 826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3937050413268926E-2"/>
                  <c:y val="-6.7967591007645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CA-4A92-AE14-5A1DA81B78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A-4A92-AE14-5A1DA81B785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 - 2235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2629861704888268E-2"/>
                  <c:y val="-3.662254174749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CA-4A92-AE14-5A1DA81B78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2235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CA-4A92-AE14-5A1DA81B785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 - 3111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8559067879886245E-2"/>
                  <c:y val="-2.454524706150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CA-4A92-AE14-5A1DA81B78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CA-4A92-AE14-5A1DA81B7857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 - 5325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513061677663063E-2"/>
                  <c:y val="-1.6926851534862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CA-4A92-AE14-5A1DA81B78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5325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6CA-4A92-AE14-5A1DA81B7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21529616"/>
        <c:axId val="721538864"/>
        <c:axId val="721950464"/>
      </c:bar3DChart>
      <c:catAx>
        <c:axId val="721529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1538864"/>
        <c:crosses val="autoZero"/>
        <c:auto val="1"/>
        <c:lblAlgn val="ctr"/>
        <c:lblOffset val="100"/>
        <c:noMultiLvlLbl val="0"/>
      </c:catAx>
      <c:valAx>
        <c:axId val="721538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1529616"/>
        <c:crosses val="autoZero"/>
        <c:crossBetween val="between"/>
      </c:valAx>
      <c:serAx>
        <c:axId val="721950464"/>
        <c:scaling>
          <c:orientation val="minMax"/>
        </c:scaling>
        <c:delete val="1"/>
        <c:axPos val="b"/>
        <c:majorTickMark val="out"/>
        <c:minorTickMark val="none"/>
        <c:tickLblPos val="nextTo"/>
        <c:crossAx val="721538864"/>
        <c:crosses val="autoZero"/>
      </c:ser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1.2849365393306875E-2"/>
          <c:y val="0.66015995283198292"/>
          <c:w val="0.98062038453724087"/>
          <c:h val="0.331716877781581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647249827000951E-2"/>
          <c:y val="7.3606851775107063E-2"/>
          <c:w val="0.82746053779159046"/>
          <c:h val="0.48413237818956839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9DB-42F2-B7C2-6D2D5D9095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9DB-42F2-B7C2-6D2D5D9095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9DB-42F2-B7C2-6D2D5D9095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9DB-42F2-B7C2-6D2D5D9095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0" cap="sq">
                <a:noFill/>
                <a:miter lim="800000"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9DB-42F2-B7C2-6D2D5D9095A4}"/>
              </c:ext>
            </c:extLst>
          </c:dPt>
          <c:dLbls>
            <c:dLbl>
              <c:idx val="0"/>
              <c:layout>
                <c:manualLayout>
                  <c:x val="-2.3151318041766519E-4"/>
                  <c:y val="-0.11329802465356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DB-42F2-B7C2-6D2D5D9095A4}"/>
                </c:ext>
              </c:extLst>
            </c:dLbl>
            <c:dLbl>
              <c:idx val="1"/>
              <c:layout>
                <c:manualLayout>
                  <c:x val="2.4836908973334855E-3"/>
                  <c:y val="6.328168485187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DB-42F2-B7C2-6D2D5D9095A4}"/>
                </c:ext>
              </c:extLst>
            </c:dLbl>
            <c:dLbl>
              <c:idx val="2"/>
              <c:layout>
                <c:manualLayout>
                  <c:x val="-5.8641922477081672E-3"/>
                  <c:y val="-0.12020026943436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DB-42F2-B7C2-6D2D5D9095A4}"/>
                </c:ext>
              </c:extLst>
            </c:dLbl>
            <c:dLbl>
              <c:idx val="3"/>
              <c:layout>
                <c:manualLayout>
                  <c:x val="4.0222146144775379E-3"/>
                  <c:y val="-2.27663307240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DB-42F2-B7C2-6D2D5D9095A4}"/>
                </c:ext>
              </c:extLst>
            </c:dLbl>
            <c:dLbl>
              <c:idx val="4"/>
              <c:layout>
                <c:manualLayout>
                  <c:x val="3.6199456046255088E-2"/>
                  <c:y val="-2.7650575524126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DB-42F2-B7C2-6D2D5D9095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Злочини проти життя та здоров'я особи - 818</c:v>
                </c:pt>
                <c:pt idx="1">
                  <c:v>Злочини проти власності - 700</c:v>
                </c:pt>
                <c:pt idx="2">
                  <c:v>У сфері наркотичних засобів - 336</c:v>
                </c:pt>
                <c:pt idx="3">
                  <c:v>Злочини проти основ національної безпеки України - 143</c:v>
                </c:pt>
                <c:pt idx="4">
                  <c:v>Проти безпеки руху та експлуатації транспорту - 240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818</c:v>
                </c:pt>
                <c:pt idx="1">
                  <c:v>700</c:v>
                </c:pt>
                <c:pt idx="2">
                  <c:v>336</c:v>
                </c:pt>
                <c:pt idx="3">
                  <c:v>143</c:v>
                </c:pt>
                <c:pt idx="4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DB-42F2-B7C2-6D2D5D909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3.344184161067229E-3"/>
          <c:y val="0.5965916760404949"/>
          <c:w val="0.99665581583893259"/>
          <c:h val="0.40340832395950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ln>
            <a:noFill/>
          </a:ln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Не розглянуто на кінець звітнього періоду справ- 2214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569570087016455E-2"/>
                  <c:y val="-4.039662137348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2214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0-4D51-B067-BDEC9FDF67D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Не розглянуто понад 6 місяців, 1 рік - 260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20356103406949E-2"/>
                  <c:y val="-6.157003591585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75-4802-9854-DB2672CD0F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20-4D51-B067-BDEC9FDF67D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Понад 1 рік до 2 років - 185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507883173946756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20-4D51-B067-BDEC9FDF67D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Понад 2 роки - 498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400275695700869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20-4D51-B067-BDEC9FDF67D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Зупинено кримінальних проваджень - 568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846471956577927E-2"/>
                  <c:y val="-6.61035622475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20-4D51-B067-BDEC9FDF67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20-4D51-B067-BDEC9FDF6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27440"/>
        <c:axId val="721527984"/>
        <c:axId val="0"/>
      </c:bar3DChart>
      <c:catAx>
        <c:axId val="721527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1527984"/>
        <c:crosses val="autoZero"/>
        <c:auto val="1"/>
        <c:lblAlgn val="ctr"/>
        <c:lblOffset val="100"/>
        <c:noMultiLvlLbl val="0"/>
      </c:catAx>
      <c:valAx>
        <c:axId val="72152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152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165058949624867E-2"/>
          <c:y val="0.63422817892444294"/>
          <c:w val="0.7954651408123824"/>
          <c:h val="0.343970514324007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233171782444804E-2"/>
          <c:y val="2.3887079261672096E-2"/>
          <c:w val="0.91814754981152391"/>
          <c:h val="0.46963667735977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 - 93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C6-4D65-A55B-C7236307581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 - 843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C6-4D65-A55B-C7236307581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 - 310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C6-4D65-A55B-C72363075816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 - 9020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9020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C6-4D65-A55B-C72363075816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 - 10275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10275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C6-4D65-A55B-C72363075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1529072"/>
        <c:axId val="721530160"/>
      </c:barChart>
      <c:catAx>
        <c:axId val="721529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1530160"/>
        <c:crosses val="autoZero"/>
        <c:auto val="1"/>
        <c:lblAlgn val="ctr"/>
        <c:lblOffset val="100"/>
        <c:noMultiLvlLbl val="0"/>
      </c:catAx>
      <c:valAx>
        <c:axId val="721530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72152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286869432112588E-3"/>
          <c:y val="0.59181952950325656"/>
          <c:w val="0.98711493858098109"/>
          <c:h val="0.3898325556527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128866741898807E-2"/>
          <c:y val="3.8194444444444448E-2"/>
          <c:w val="0.92443362454089373"/>
          <c:h val="0.438549761699367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суди- 79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4-41D2-8C6C-F887C5C0C7B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 - 933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34-41D2-8C6C-F887C5C0C7B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 -511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34-41D2-8C6C-F887C5C0C7B7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 - 10194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10194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34-41D2-8C6C-F887C5C0C7B7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 - 11721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11721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34-41D2-8C6C-F887C5C0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3358192"/>
        <c:axId val="673362000"/>
      </c:barChart>
      <c:catAx>
        <c:axId val="67335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3362000"/>
        <c:crosses val="autoZero"/>
        <c:auto val="1"/>
        <c:lblAlgn val="ctr"/>
        <c:lblOffset val="100"/>
        <c:noMultiLvlLbl val="0"/>
      </c:catAx>
      <c:valAx>
        <c:axId val="67336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uk-UA"/>
          </a:p>
        </c:txPr>
        <c:crossAx val="67335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183115955098249E-2"/>
          <c:y val="0.54650594601600722"/>
          <c:w val="0.97915588907431816"/>
          <c:h val="0.44473763001846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8514570726891"/>
          <c:y val="3.4539660644609206E-2"/>
          <c:w val="0.82784042669907421"/>
          <c:h val="0.54843994865605306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DE5-407E-8884-BF3AC03C9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DE5-407E-8884-BF3AC03C9B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DE5-407E-8884-BF3AC03C9B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DE5-407E-8884-BF3AC03C9B23}"/>
              </c:ext>
            </c:extLst>
          </c:dPt>
          <c:dLbls>
            <c:dLbl>
              <c:idx val="0"/>
              <c:layout>
                <c:manualLayout>
                  <c:x val="1.2765621148185071E-2"/>
                  <c:y val="-9.054221744160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5-407E-8884-BF3AC03C9B23}"/>
                </c:ext>
              </c:extLst>
            </c:dLbl>
            <c:dLbl>
              <c:idx val="1"/>
              <c:layout>
                <c:manualLayout>
                  <c:x val="-5.8985901714818288E-2"/>
                  <c:y val="-0.12867076914778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5-407E-8884-BF3AC03C9B23}"/>
                </c:ext>
              </c:extLst>
            </c:dLbl>
            <c:dLbl>
              <c:idx val="2"/>
              <c:layout>
                <c:manualLayout>
                  <c:x val="2.6107021948343415E-2"/>
                  <c:y val="-3.697736190569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E5-407E-8884-BF3AC03C9B23}"/>
                </c:ext>
              </c:extLst>
            </c:dLbl>
            <c:dLbl>
              <c:idx val="3"/>
              <c:layout>
                <c:manualLayout>
                  <c:x val="2.0373682909201569E-2"/>
                  <c:y val="-8.47325581235013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E5-407E-8884-BF3AC03C9B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Всього закінчено проваджень - 11721</c:v>
                </c:pt>
                <c:pt idx="1">
                  <c:v>Спори що виникають із сімейних правовідносин - 6034</c:v>
                </c:pt>
                <c:pt idx="2">
                  <c:v>Спори що виникають із договірних правочинів - 2787</c:v>
                </c:pt>
                <c:pt idx="3">
                  <c:v>Спори із відносин спадкування -961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11721</c:v>
                </c:pt>
                <c:pt idx="1">
                  <c:v>6034</c:v>
                </c:pt>
                <c:pt idx="2">
                  <c:v>2787</c:v>
                </c:pt>
                <c:pt idx="3">
                  <c:v>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E5-407E-8884-BF3AC03C9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42998216383168E-2"/>
          <c:y val="0.66167752493721455"/>
          <c:w val="0.95943417293832745"/>
          <c:h val="0.32700042753555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82028170915935E-2"/>
          <c:y val="3.4630060244506093E-2"/>
          <c:w val="0.89193812188267463"/>
          <c:h val="0.43936323641825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Перебувало адміністративних справ-584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2273918149788358E-3"/>
                  <c:y val="-6.0947368872410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9E-45D2-9388-7F8AEF22A90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Справи щодо захисту політичних (крім виборчих) та громадських справ- 16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295871352425628E-2"/>
                  <c:y val="-8.6071610807225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9E-45D2-9388-7F8AEF22A90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Справи з приводу реалізації державної політики у сфері економіки та публічної фінансової політики -14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61631583702165E-2"/>
                  <c:y val="-7.8907099763736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9E-45D2-9388-7F8AEF22A90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Спори з приводу забезпечення громадського порядку та безпеки -419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90956725991508E-2"/>
                  <c:y val="-7.154991903013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9E-45D2-9388-7F8AEF22A90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5327491191617E-2"/>
                  <c:y val="-3.18077398833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9E-45D2-9388-7F8AEF22A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E19E-45D2-9388-7F8AEF22A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357104"/>
        <c:axId val="673357648"/>
        <c:axId val="0"/>
      </c:bar3DChart>
      <c:catAx>
        <c:axId val="673357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73357648"/>
        <c:crosses val="autoZero"/>
        <c:auto val="1"/>
        <c:lblAlgn val="ctr"/>
        <c:lblOffset val="100"/>
        <c:noMultiLvlLbl val="0"/>
      </c:catAx>
      <c:valAx>
        <c:axId val="67335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7335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2.7014709977972976E-3"/>
          <c:y val="0.57795738458544377"/>
          <c:w val="0.99459705800440534"/>
          <c:h val="0.41669859403847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91655887511673E-2"/>
          <c:y val="8.0643715156043447E-2"/>
          <c:w val="0.73464943676298833"/>
          <c:h val="0.49504181542524578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84D-49D0-A761-A39C1E1CF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84D-49D0-A761-A39C1E1CF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84D-49D0-A761-A39C1E1CF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84D-49D0-A761-A39C1E1CF1BA}"/>
              </c:ext>
            </c:extLst>
          </c:dPt>
          <c:dLbls>
            <c:dLbl>
              <c:idx val="0"/>
              <c:layout>
                <c:manualLayout>
                  <c:x val="2.2973487009775865E-2"/>
                  <c:y val="-0.13955638472580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4D-49D0-A761-A39C1E1CF1BA}"/>
                </c:ext>
              </c:extLst>
            </c:dLbl>
            <c:dLbl>
              <c:idx val="1"/>
              <c:layout>
                <c:manualLayout>
                  <c:x val="2.6856085584975688E-2"/>
                  <c:y val="-1.0162706685734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4D-49D0-A761-A39C1E1CF1BA}"/>
                </c:ext>
              </c:extLst>
            </c:dLbl>
            <c:dLbl>
              <c:idx val="2"/>
              <c:layout>
                <c:manualLayout>
                  <c:x val="-9.6400110312297917E-3"/>
                  <c:y val="-7.2370843175133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4D-49D0-A761-A39C1E1CF1BA}"/>
                </c:ext>
              </c:extLst>
            </c:dLbl>
            <c:dLbl>
              <c:idx val="3"/>
              <c:layout>
                <c:manualLayout>
                  <c:x val="1.485535775419377E-2"/>
                  <c:y val="6.63703899811965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4D-49D0-A761-A39C1E1CF1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Надійшло справ за ст.130 КУпАП - 4059</c:v>
                </c:pt>
                <c:pt idx="1">
                  <c:v>Повернуто -192</c:v>
                </c:pt>
                <c:pt idx="2">
                  <c:v>Накладено адміністративне стягнення - 3654</c:v>
                </c:pt>
                <c:pt idx="3">
                  <c:v>Закрито за відсутністю подій адміністративного правопорушення - 902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4059</c:v>
                </c:pt>
                <c:pt idx="1">
                  <c:v>192</c:v>
                </c:pt>
                <c:pt idx="2">
                  <c:v>3654</c:v>
                </c:pt>
                <c:pt idx="3">
                  <c:v>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4D-49D0-A761-A39C1E1CF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859318733954752"/>
          <c:w val="0.99755867837094536"/>
          <c:h val="0.35140681266045243"/>
        </c:manualLayout>
      </c:layout>
      <c:overlay val="0"/>
      <c:spPr>
        <a:noFill/>
        <a:ln w="0">
          <a:solidFill>
            <a:schemeClr val="l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9CA8-0441-4ACA-8472-8720352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13</Pages>
  <Words>10774</Words>
  <Characters>6142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Подольська Марія</cp:lastModifiedBy>
  <cp:revision>74</cp:revision>
  <cp:lastPrinted>2024-02-20T08:48:00Z</cp:lastPrinted>
  <dcterms:created xsi:type="dcterms:W3CDTF">2021-02-05T06:30:00Z</dcterms:created>
  <dcterms:modified xsi:type="dcterms:W3CDTF">2024-02-20T10:26:00Z</dcterms:modified>
</cp:coreProperties>
</file>